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50FB7">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Calibri" w:eastAsia="方正小标宋简体" w:cs="Times New Roman"/>
          <w:sz w:val="44"/>
          <w:szCs w:val="22"/>
        </w:rPr>
      </w:pPr>
      <w:r>
        <w:rPr>
          <w:rFonts w:hint="eastAsia" w:ascii="方正小标宋简体" w:hAnsi="Calibri" w:eastAsia="方正小标宋简体" w:cs="Times New Roman"/>
          <w:sz w:val="44"/>
          <w:szCs w:val="22"/>
        </w:rPr>
        <w:t>龙子湖区关于进一步规范涉企行政检查</w:t>
      </w:r>
    </w:p>
    <w:p w14:paraId="46F7378E">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Calibri" w:eastAsia="方正小标宋简体" w:cs="Times New Roman"/>
          <w:sz w:val="44"/>
          <w:szCs w:val="22"/>
          <w:lang w:eastAsia="zh-CN"/>
        </w:rPr>
      </w:pPr>
      <w:r>
        <w:rPr>
          <w:rFonts w:hint="eastAsia" w:ascii="方正小标宋简体" w:hAnsi="Calibri" w:eastAsia="方正小标宋简体" w:cs="Times New Roman"/>
          <w:sz w:val="44"/>
          <w:szCs w:val="22"/>
        </w:rPr>
        <w:t>工作方案</w:t>
      </w:r>
      <w:r>
        <w:rPr>
          <w:rFonts w:hint="eastAsia" w:ascii="方正小标宋简体" w:hAnsi="Calibri" w:eastAsia="方正小标宋简体" w:cs="Times New Roman"/>
          <w:sz w:val="44"/>
          <w:szCs w:val="22"/>
          <w:lang w:eastAsia="zh-CN"/>
        </w:rPr>
        <w:t>（</w:t>
      </w:r>
      <w:r>
        <w:rPr>
          <w:rFonts w:hint="eastAsia" w:ascii="方正小标宋简体" w:hAnsi="Calibri" w:eastAsia="方正小标宋简体" w:cs="Times New Roman"/>
          <w:sz w:val="44"/>
          <w:szCs w:val="22"/>
          <w:lang w:val="en-US" w:eastAsia="zh-CN"/>
        </w:rPr>
        <w:t>试行</w:t>
      </w:r>
      <w:r>
        <w:rPr>
          <w:rFonts w:hint="eastAsia" w:ascii="方正小标宋简体" w:hAnsi="Calibri" w:eastAsia="方正小标宋简体" w:cs="Times New Roman"/>
          <w:sz w:val="44"/>
          <w:szCs w:val="22"/>
          <w:lang w:eastAsia="zh-CN"/>
        </w:rPr>
        <w:t>）</w:t>
      </w:r>
    </w:p>
    <w:p w14:paraId="45D8171C">
      <w:pPr>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ascii="楷体_GB2312" w:hAnsi="仿宋_GB2312" w:eastAsia="仿宋_GB2312" w:cs="仿宋_GB2312"/>
          <w:kern w:val="2"/>
          <w:sz w:val="36"/>
          <w:szCs w:val="32"/>
          <w:lang w:val="zh-CN" w:eastAsia="zh-CN" w:bidi="zh-CN"/>
        </w:rPr>
      </w:pPr>
    </w:p>
    <w:p w14:paraId="3FD70FD8">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b w:val="0"/>
          <w:bCs w:val="0"/>
          <w:color w:val="auto"/>
          <w:spacing w:val="-14"/>
          <w:w w:val="95"/>
          <w:kern w:val="44"/>
          <w:sz w:val="32"/>
          <w:szCs w:val="22"/>
          <w:highlight w:val="none"/>
          <w:lang w:val="zh-CN" w:eastAsia="zh-CN" w:bidi="zh-CN"/>
        </w:rPr>
      </w:pP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为深入贯彻落实《国务院办公厅关于严格规范涉企行政检查的意见》（国办发〔2024〕54号）、《安徽省人民政府印发关于推动经济持续回升向好若干政策举措的通知》</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等文件精神和要求</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。现结合我区实际，制定本工作方案。</w:t>
      </w:r>
    </w:p>
    <w:p w14:paraId="26F48129">
      <w:pPr>
        <w:keepNext w:val="0"/>
        <w:keepLines w:val="0"/>
        <w:pageBreakBefore w:val="0"/>
        <w:widowControl w:val="0"/>
        <w:kinsoku/>
        <w:wordWrap/>
        <w:overflowPunct/>
        <w:topLinePunct w:val="0"/>
        <w:autoSpaceDE w:val="0"/>
        <w:autoSpaceDN w:val="0"/>
        <w:bidi w:val="0"/>
        <w:adjustRightInd/>
        <w:snapToGrid/>
        <w:spacing w:before="0" w:beforeAutospacing="0" w:afterAutospacing="0" w:line="560" w:lineRule="exact"/>
        <w:ind w:left="0" w:right="0" w:firstLine="640" w:firstLineChars="200"/>
        <w:jc w:val="left"/>
        <w:textAlignment w:val="auto"/>
        <w:rPr>
          <w:rFonts w:hint="eastAsia" w:ascii="黑体" w:hAnsi="仿宋_GB2312" w:eastAsia="黑体" w:cs="仿宋_GB2312"/>
          <w:color w:val="auto"/>
          <w:kern w:val="2"/>
          <w:sz w:val="32"/>
          <w:szCs w:val="32"/>
          <w:highlight w:val="none"/>
          <w:lang w:val="zh-CN" w:eastAsia="zh-CN" w:bidi="zh-CN"/>
        </w:rPr>
      </w:pPr>
      <w:r>
        <w:rPr>
          <w:rFonts w:hint="eastAsia" w:ascii="黑体" w:hAnsi="仿宋_GB2312" w:eastAsia="黑体" w:cs="仿宋_GB2312"/>
          <w:color w:val="auto"/>
          <w:kern w:val="2"/>
          <w:sz w:val="32"/>
          <w:szCs w:val="32"/>
          <w:highlight w:val="none"/>
          <w:lang w:val="zh-CN" w:eastAsia="zh-CN" w:bidi="zh-CN"/>
        </w:rPr>
        <w:t>一、总体要求</w:t>
      </w:r>
    </w:p>
    <w:p w14:paraId="77755140">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left"/>
        <w:textAlignment w:val="auto"/>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pP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坚持以习近平新时代中国特色社会主义思想为指导，深入领会习近平法治思想和习近平在民营企业家座谈会的讲话精神，以“规范执法行为、减轻企业负担、激发市场活力”为目标，通过整合执法资源、创新监管模式，将行政检查与企业帮扶有机结合起来，坚决遏制乱收费、乱罚款、乱检查、乱查封等突出问题，实现“进一次门、查多项事、一次整改到位”，坚持过罚相当，严格落实行政裁量权基准制度，更多采用柔性执法方式，</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打造法治化营商环境</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，为企业高质量发展保驾护航。</w:t>
      </w:r>
    </w:p>
    <w:p w14:paraId="0C706941">
      <w:pPr>
        <w:keepNext w:val="0"/>
        <w:keepLines w:val="0"/>
        <w:pageBreakBefore w:val="0"/>
        <w:widowControl w:val="0"/>
        <w:kinsoku/>
        <w:wordWrap/>
        <w:overflowPunct/>
        <w:topLinePunct w:val="0"/>
        <w:autoSpaceDE w:val="0"/>
        <w:autoSpaceDN w:val="0"/>
        <w:bidi w:val="0"/>
        <w:adjustRightInd/>
        <w:snapToGrid/>
        <w:spacing w:before="0" w:beforeAutospacing="0" w:afterAutospacing="0" w:line="560" w:lineRule="exact"/>
        <w:ind w:left="0" w:right="0" w:firstLine="640" w:firstLineChars="200"/>
        <w:jc w:val="left"/>
        <w:textAlignment w:val="auto"/>
        <w:rPr>
          <w:rFonts w:hint="eastAsia" w:ascii="黑体" w:hAnsi="仿宋_GB2312" w:eastAsia="黑体" w:cs="仿宋_GB2312"/>
          <w:color w:val="auto"/>
          <w:kern w:val="2"/>
          <w:sz w:val="32"/>
          <w:szCs w:val="32"/>
          <w:highlight w:val="none"/>
          <w:lang w:val="zh-CN" w:eastAsia="zh-CN" w:bidi="zh-CN"/>
        </w:rPr>
      </w:pPr>
      <w:r>
        <w:rPr>
          <w:rFonts w:hint="eastAsia" w:ascii="黑体" w:hAnsi="仿宋_GB2312" w:eastAsia="黑体" w:cs="仿宋_GB2312"/>
          <w:color w:val="auto"/>
          <w:kern w:val="2"/>
          <w:sz w:val="32"/>
          <w:szCs w:val="32"/>
          <w:highlight w:val="none"/>
          <w:lang w:val="zh-CN" w:eastAsia="zh-CN" w:bidi="zh-CN"/>
        </w:rPr>
        <w:t>二、工作举措</w:t>
      </w:r>
    </w:p>
    <w:p w14:paraId="25D3B09B">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3" w:firstLineChars="200"/>
        <w:jc w:val="left"/>
        <w:textAlignment w:val="auto"/>
        <w:rPr>
          <w:rFonts w:hint="eastAsia" w:ascii="楷体" w:hAnsi="楷体" w:eastAsia="楷体" w:cs="楷体"/>
          <w:b/>
          <w:bCs/>
          <w:color w:val="auto"/>
          <w:kern w:val="44"/>
          <w:sz w:val="32"/>
          <w:szCs w:val="32"/>
          <w:highlight w:val="none"/>
          <w:lang w:val="en-US" w:eastAsia="zh-CN" w:bidi="ar"/>
        </w:rPr>
      </w:pPr>
      <w:r>
        <w:rPr>
          <w:rFonts w:hint="eastAsia" w:ascii="楷体" w:hAnsi="楷体" w:eastAsia="楷体" w:cs="楷体"/>
          <w:b/>
          <w:bCs/>
          <w:color w:val="auto"/>
          <w:kern w:val="44"/>
          <w:sz w:val="32"/>
          <w:szCs w:val="32"/>
          <w:highlight w:val="none"/>
          <w:lang w:val="en-US" w:eastAsia="zh-CN" w:bidi="ar"/>
        </w:rPr>
        <w:t>（一）推行“综合查一次”联合执法改革制度</w:t>
      </w:r>
    </w:p>
    <w:p w14:paraId="7322E67A">
      <w:pPr>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Autospacing="0" w:line="560" w:lineRule="exact"/>
        <w:ind w:left="106" w:right="0" w:rightChars="0" w:firstLine="628" w:firstLineChars="200"/>
        <w:jc w:val="left"/>
        <w:textAlignment w:val="auto"/>
        <w:rPr>
          <w:rFonts w:hint="eastAsia" w:ascii="仿宋_GB2312" w:hAnsi="仿宋_GB2312" w:eastAsia="仿宋_GB2312" w:cs="仿宋_GB2312"/>
          <w:b w:val="0"/>
          <w:bCs w:val="0"/>
          <w:color w:val="auto"/>
          <w:spacing w:val="-14"/>
          <w:w w:val="95"/>
          <w:kern w:val="2"/>
          <w:sz w:val="32"/>
          <w:szCs w:val="22"/>
          <w:highlight w:val="none"/>
          <w:lang w:val="zh-CN" w:eastAsia="zh-CN" w:bidi="zh-CN"/>
        </w:rPr>
      </w:pPr>
      <w:r>
        <w:rPr>
          <w:rFonts w:hint="eastAsia" w:ascii="楷体_GB2312" w:hAnsi="楷体_GB2312" w:eastAsia="楷体_GB2312" w:cs="楷体_GB2312"/>
          <w:spacing w:val="5"/>
          <w:w w:val="95"/>
          <w:kern w:val="2"/>
          <w:sz w:val="32"/>
          <w:szCs w:val="22"/>
          <w:highlight w:val="none"/>
          <w:lang w:val="en-US" w:eastAsia="zh-CN" w:bidi="zh-CN"/>
        </w:rPr>
        <w:t>1.</w:t>
      </w:r>
      <w:r>
        <w:rPr>
          <w:rFonts w:hint="eastAsia" w:ascii="楷体_GB2312" w:hAnsi="楷体_GB2312" w:eastAsia="楷体_GB2312" w:cs="楷体_GB2312"/>
          <w:spacing w:val="5"/>
          <w:w w:val="95"/>
          <w:kern w:val="2"/>
          <w:sz w:val="32"/>
          <w:szCs w:val="22"/>
          <w:highlight w:val="none"/>
          <w:lang w:val="zh-CN" w:eastAsia="zh-CN" w:bidi="zh-CN"/>
        </w:rPr>
        <w:t>明确清单制定主体。</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由</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区司法局</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园区</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管委会</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等部门牵头</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成立联合检查专班，</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区</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市场监管</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局</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区</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应急</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局</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区</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生态环境</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分局</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区</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消防</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大队</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区住建局、区人社局及各乡街</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为成员，其他部门依需联动参与。各行政执法机关负责梳理和制定本系统涉企行政检查事项清单。</w:t>
      </w:r>
    </w:p>
    <w:p w14:paraId="476E558F">
      <w:pPr>
        <w:keepNext w:val="0"/>
        <w:keepLines w:val="0"/>
        <w:pageBreakBefore w:val="0"/>
        <w:widowControl w:val="0"/>
        <w:kinsoku/>
        <w:wordWrap/>
        <w:overflowPunct/>
        <w:topLinePunct w:val="0"/>
        <w:autoSpaceDE w:val="0"/>
        <w:autoSpaceDN w:val="0"/>
        <w:bidi w:val="0"/>
        <w:adjustRightInd/>
        <w:snapToGrid/>
        <w:spacing w:before="0" w:beforeAutospacing="0" w:afterAutospacing="0" w:line="560" w:lineRule="exact"/>
        <w:ind w:left="0" w:leftChars="0" w:right="0" w:firstLine="628" w:firstLineChars="200"/>
        <w:jc w:val="left"/>
        <w:textAlignment w:val="auto"/>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pPr>
      <w:r>
        <w:rPr>
          <w:rFonts w:hint="eastAsia" w:ascii="楷体_GB2312" w:hAnsi="楷体_GB2312" w:eastAsia="楷体_GB2312" w:cs="楷体_GB2312"/>
          <w:spacing w:val="5"/>
          <w:w w:val="95"/>
          <w:kern w:val="2"/>
          <w:sz w:val="32"/>
          <w:szCs w:val="22"/>
          <w:highlight w:val="none"/>
          <w:lang w:val="en-US" w:eastAsia="zh-CN" w:bidi="zh-CN"/>
        </w:rPr>
        <w:t>2.明确</w:t>
      </w:r>
      <w:r>
        <w:rPr>
          <w:rFonts w:hint="eastAsia" w:ascii="楷体_GB2312" w:hAnsi="楷体_GB2312" w:eastAsia="楷体_GB2312" w:cs="楷体_GB2312"/>
          <w:spacing w:val="5"/>
          <w:w w:val="95"/>
          <w:kern w:val="2"/>
          <w:sz w:val="32"/>
          <w:szCs w:val="22"/>
          <w:highlight w:val="none"/>
          <w:lang w:val="zh-CN" w:eastAsia="zh-CN" w:bidi="zh-CN"/>
        </w:rPr>
        <w:t>清单</w:t>
      </w:r>
      <w:r>
        <w:rPr>
          <w:rFonts w:hint="eastAsia" w:ascii="楷体_GB2312" w:hAnsi="楷体_GB2312" w:eastAsia="楷体_GB2312" w:cs="楷体_GB2312"/>
          <w:spacing w:val="5"/>
          <w:w w:val="95"/>
          <w:kern w:val="2"/>
          <w:sz w:val="32"/>
          <w:szCs w:val="22"/>
          <w:highlight w:val="none"/>
          <w:lang w:val="en-US" w:eastAsia="zh-CN" w:bidi="zh-CN"/>
        </w:rPr>
        <w:t>制定</w:t>
      </w:r>
      <w:r>
        <w:rPr>
          <w:rFonts w:hint="eastAsia" w:ascii="楷体_GB2312" w:hAnsi="楷体_GB2312" w:eastAsia="楷体_GB2312" w:cs="楷体_GB2312"/>
          <w:spacing w:val="5"/>
          <w:w w:val="95"/>
          <w:kern w:val="2"/>
          <w:sz w:val="32"/>
          <w:szCs w:val="22"/>
          <w:highlight w:val="none"/>
          <w:lang w:val="zh-CN" w:eastAsia="zh-CN" w:bidi="zh-CN"/>
        </w:rPr>
        <w:t>程序。</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每年</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4</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月编制</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年度</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检查计划，经区政府审批备案后向社会公示。跨部门检查事项须联合制定计划，规避多头重复检查。建立紧急检查备案制度，对存在重大风险隐患或可能造成严重后果的专项检查，允许动态调整年度计划并补办备案手续。</w:t>
      </w:r>
    </w:p>
    <w:p w14:paraId="66DD73AF">
      <w:pPr>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beforeAutospacing="0" w:after="0" w:afterAutospacing="0" w:line="560" w:lineRule="exact"/>
        <w:ind w:left="106" w:right="0" w:rightChars="0" w:firstLine="628" w:firstLineChars="200"/>
        <w:jc w:val="left"/>
        <w:textAlignment w:val="auto"/>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pPr>
      <w:r>
        <w:rPr>
          <w:rFonts w:hint="eastAsia" w:ascii="楷体_GB2312" w:hAnsi="楷体_GB2312" w:eastAsia="楷体_GB2312" w:cs="楷体_GB2312"/>
          <w:color w:val="auto"/>
          <w:spacing w:val="5"/>
          <w:w w:val="95"/>
          <w:kern w:val="2"/>
          <w:sz w:val="32"/>
          <w:szCs w:val="22"/>
          <w:highlight w:val="none"/>
          <w:lang w:val="en-US" w:eastAsia="zh-CN" w:bidi="zh-CN"/>
        </w:rPr>
        <w:t>3.建立行政检查标准清单。</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由专班</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统筹各部门制定《龙子湖区行政检</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查事项清单</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，明确联合检查事项名称、对象、方式、主体、</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内容</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等核心要素。通过科学设定检查频次，实现执法力度与减少扰企的平衡，清单包括安全生产、消防、环境保护、市场监管等领域。</w:t>
      </w:r>
    </w:p>
    <w:p w14:paraId="75705938">
      <w:pPr>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beforeAutospacing="0" w:after="0" w:afterAutospacing="0" w:line="560" w:lineRule="exact"/>
        <w:ind w:left="106" w:right="0" w:rightChars="0" w:firstLine="628" w:firstLineChars="200"/>
        <w:jc w:val="left"/>
        <w:textAlignment w:val="auto"/>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pPr>
      <w:r>
        <w:rPr>
          <w:rFonts w:hint="eastAsia" w:ascii="楷体_GB2312" w:hAnsi="楷体_GB2312" w:eastAsia="楷体_GB2312" w:cs="楷体_GB2312"/>
          <w:color w:val="auto"/>
          <w:spacing w:val="5"/>
          <w:w w:val="95"/>
          <w:kern w:val="2"/>
          <w:sz w:val="32"/>
          <w:szCs w:val="22"/>
          <w:highlight w:val="none"/>
          <w:lang w:val="en-US" w:eastAsia="zh-CN" w:bidi="zh-CN"/>
        </w:rPr>
        <w:t>4.推行动态管理机制</w:t>
      </w:r>
      <w:r>
        <w:rPr>
          <w:rFonts w:ascii="仿宋_GB2312" w:hAnsi="仿宋_GB2312" w:eastAsia="仿宋_GB2312" w:cs="仿宋_GB2312"/>
          <w:color w:val="auto"/>
          <w:spacing w:val="-4"/>
          <w:kern w:val="2"/>
          <w:sz w:val="32"/>
          <w:szCs w:val="22"/>
          <w:highlight w:val="none"/>
          <w:lang w:val="zh-CN" w:eastAsia="zh-CN" w:bidi="zh-CN"/>
        </w:rPr>
        <w:t>。</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对</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《龙子湖区行政检</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查事项清单</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实行动态管理，</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如有需要修改事项，可由主管部门提请，由专班共同审定调整事项。</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对某一行业的突出问题，可以依法部署专项检查。专项检查要符合监管的客观需要，实行年度数量控制，事先拟</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定</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检查计划，经区政府或者实行垂直管理的上一级行政机关批准后按照规定备案，并向社会公布。</w:t>
      </w:r>
    </w:p>
    <w:p w14:paraId="65CB5B89">
      <w:pPr>
        <w:keepNext w:val="0"/>
        <w:keepLines w:val="0"/>
        <w:pageBreakBefore w:val="0"/>
        <w:widowControl w:val="0"/>
        <w:kinsoku/>
        <w:wordWrap/>
        <w:overflowPunct/>
        <w:topLinePunct w:val="0"/>
        <w:autoSpaceDE w:val="0"/>
        <w:autoSpaceDN w:val="0"/>
        <w:bidi w:val="0"/>
        <w:adjustRightInd/>
        <w:snapToGrid/>
        <w:spacing w:before="0" w:beforeAutospacing="0" w:afterAutospacing="0" w:line="560" w:lineRule="exact"/>
        <w:ind w:right="0" w:firstLine="628" w:firstLineChars="200"/>
        <w:jc w:val="left"/>
        <w:textAlignment w:val="auto"/>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pPr>
      <w:r>
        <w:rPr>
          <w:rFonts w:hint="eastAsia" w:ascii="楷体_GB2312" w:hAnsi="楷体_GB2312" w:eastAsia="楷体_GB2312" w:cs="楷体_GB2312"/>
          <w:color w:val="auto"/>
          <w:spacing w:val="5"/>
          <w:w w:val="95"/>
          <w:sz w:val="32"/>
          <w:szCs w:val="22"/>
          <w:highlight w:val="none"/>
          <w:lang w:val="en-US" w:eastAsia="zh-CN" w:bidi="zh-CN"/>
        </w:rPr>
        <w:t>5.</w:t>
      </w:r>
      <w:r>
        <w:rPr>
          <w:rFonts w:hint="eastAsia" w:ascii="楷体_GB2312" w:hAnsi="楷体_GB2312" w:eastAsia="楷体_GB2312" w:cs="楷体_GB2312"/>
          <w:color w:val="auto"/>
          <w:spacing w:val="5"/>
          <w:w w:val="95"/>
          <w:sz w:val="32"/>
          <w:szCs w:val="22"/>
          <w:highlight w:val="none"/>
          <w:lang w:val="zh-CN" w:eastAsia="zh-CN" w:bidi="zh-CN"/>
        </w:rPr>
        <w:t>深化数字执法应用。</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积极推行人工智能、大数据进行统计分析，探索推行涉企行政检查“扫码入企”，快速预警多头检查、重复检查、高频次检查等行为，对普遍、高发问题进行及时监督。要通过信息系统收集企业对行政检查的意见建议，关注企业和社会反映强烈的突出问题，对行政执法主体受理和处理企业投诉举报情况进行重点监督。</w:t>
      </w:r>
    </w:p>
    <w:p w14:paraId="22A0976A">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3" w:firstLineChars="200"/>
        <w:jc w:val="left"/>
        <w:textAlignment w:val="auto"/>
        <w:rPr>
          <w:rFonts w:hint="eastAsia" w:ascii="宋体" w:hAnsi="宋体" w:eastAsia="宋体" w:cs="宋体"/>
          <w:b/>
          <w:bCs/>
          <w:color w:val="auto"/>
          <w:kern w:val="44"/>
          <w:sz w:val="48"/>
          <w:szCs w:val="48"/>
          <w:highlight w:val="none"/>
          <w:lang w:val="en-US" w:eastAsia="zh-CN" w:bidi="ar"/>
        </w:rPr>
      </w:pPr>
      <w:r>
        <w:rPr>
          <w:rFonts w:hint="eastAsia" w:ascii="楷体" w:hAnsi="楷体" w:eastAsia="楷体" w:cs="楷体"/>
          <w:b/>
          <w:bCs/>
          <w:color w:val="auto"/>
          <w:kern w:val="44"/>
          <w:sz w:val="32"/>
          <w:szCs w:val="32"/>
          <w:highlight w:val="none"/>
          <w:lang w:val="en-US" w:eastAsia="zh-CN" w:bidi="ar"/>
        </w:rPr>
        <w:t>（二）实行涉企行政检查分级管理制度</w:t>
      </w:r>
    </w:p>
    <w:p w14:paraId="71684208">
      <w:pPr>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beforeAutospacing="0" w:after="0" w:afterAutospacing="0" w:line="560" w:lineRule="exact"/>
        <w:ind w:left="106" w:right="0" w:rightChars="0" w:firstLine="628" w:firstLineChars="200"/>
        <w:jc w:val="left"/>
        <w:textAlignment w:val="auto"/>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pPr>
      <w:r>
        <w:rPr>
          <w:rFonts w:hint="eastAsia" w:ascii="楷体_GB2312" w:hAnsi="楷体_GB2312" w:eastAsia="楷体_GB2312" w:cs="楷体_GB2312"/>
          <w:color w:val="auto"/>
          <w:spacing w:val="5"/>
          <w:w w:val="95"/>
          <w:kern w:val="2"/>
          <w:sz w:val="32"/>
          <w:szCs w:val="22"/>
          <w:highlight w:val="none"/>
          <w:lang w:val="en-US" w:eastAsia="zh-CN" w:bidi="zh-CN"/>
        </w:rPr>
        <w:t>6.规范清单外</w:t>
      </w:r>
      <w:r>
        <w:rPr>
          <w:rFonts w:hint="eastAsia" w:ascii="楷体_GB2312" w:hAnsi="楷体_GB2312" w:eastAsia="楷体_GB2312" w:cs="楷体_GB2312"/>
          <w:color w:val="auto"/>
          <w:spacing w:val="5"/>
          <w:w w:val="95"/>
          <w:kern w:val="2"/>
          <w:sz w:val="32"/>
          <w:szCs w:val="22"/>
          <w:highlight w:val="none"/>
          <w:lang w:val="zh-CN" w:eastAsia="zh-CN" w:bidi="zh-CN"/>
        </w:rPr>
        <w:t>行政检查</w:t>
      </w:r>
      <w:r>
        <w:rPr>
          <w:rFonts w:hint="eastAsia" w:ascii="楷体_GB2312" w:hAnsi="楷体_GB2312" w:eastAsia="楷体_GB2312" w:cs="楷体_GB2312"/>
          <w:color w:val="auto"/>
          <w:spacing w:val="5"/>
          <w:w w:val="95"/>
          <w:kern w:val="2"/>
          <w:sz w:val="32"/>
          <w:szCs w:val="22"/>
          <w:highlight w:val="none"/>
          <w:lang w:val="en-US" w:eastAsia="zh-CN" w:bidi="zh-CN"/>
        </w:rPr>
        <w:t>管理</w:t>
      </w:r>
      <w:r>
        <w:rPr>
          <w:rFonts w:hint="eastAsia" w:ascii="楷体_GB2312" w:hAnsi="楷体_GB2312" w:eastAsia="楷体_GB2312" w:cs="楷体_GB2312"/>
          <w:color w:val="auto"/>
          <w:spacing w:val="5"/>
          <w:w w:val="95"/>
          <w:kern w:val="2"/>
          <w:sz w:val="32"/>
          <w:szCs w:val="22"/>
          <w:highlight w:val="none"/>
          <w:lang w:val="zh-CN" w:eastAsia="zh-CN" w:bidi="zh-CN"/>
        </w:rPr>
        <w:t>。</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检查内容必须严格限定在已公布的《龙子湖区行政检查事项清单》范围内，对情况紧急、需要当场实施的，要报行政执法主体负责人批准，并同步告知园区管委会或所属乡街。</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法律法规规定无需事先通知开展执法检查的，行政执法人员应当在实施行政检查</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后</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立即进行检查登记和记录。</w:t>
      </w:r>
    </w:p>
    <w:p w14:paraId="5C18DD9A">
      <w:pPr>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beforeAutospacing="0" w:after="0" w:afterAutospacing="0" w:line="560" w:lineRule="exact"/>
        <w:ind w:left="106" w:right="0" w:rightChars="0" w:firstLine="628" w:firstLineChars="200"/>
        <w:jc w:val="left"/>
        <w:textAlignment w:val="auto"/>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pPr>
      <w:r>
        <w:rPr>
          <w:rFonts w:hint="eastAsia" w:ascii="楷体_GB2312" w:hAnsi="楷体_GB2312" w:eastAsia="楷体_GB2312" w:cs="楷体_GB2312"/>
          <w:color w:val="auto"/>
          <w:spacing w:val="5"/>
          <w:w w:val="95"/>
          <w:kern w:val="2"/>
          <w:sz w:val="32"/>
          <w:szCs w:val="22"/>
          <w:highlight w:val="none"/>
          <w:lang w:val="en-US" w:eastAsia="zh-CN" w:bidi="zh-CN"/>
        </w:rPr>
        <w:t>7.优化触发式行政检查机制。</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根据投诉举报、转办交办、数据监测等线索确需实施触发式现场检查，或应企业申请实施行政检查的，可以不受年度频次上限限制，但不得明显超过合理频次。触发式现场检查内容能够与尚未执行的计划检查任务合并实施的，原则上应当合并实施；触发式现场检查内容能够覆盖计划检查内容的，可视为已完成本次计划检查任务。</w:t>
      </w:r>
      <w:r>
        <w:rPr>
          <w:rFonts w:hint="default" w:ascii="Times New Roman" w:hAnsi="Times New Roman" w:eastAsia="仿宋_GB2312" w:cs="Times New Roman"/>
          <w:b w:val="0"/>
          <w:bCs w:val="0"/>
          <w:color w:val="000000"/>
          <w:kern w:val="2"/>
          <w:sz w:val="32"/>
          <w:szCs w:val="32"/>
          <w:highlight w:val="none"/>
          <w:shd w:val="clear" w:color="auto" w:fill="auto"/>
          <w:lang w:val="en-US" w:eastAsia="zh-CN" w:bidi="ar-SA"/>
        </w:rPr>
        <w:t>因突发事件处置等原因需对涉企年度行政检查计划进行调整的，应当在计划调整后15日内报送备案。</w:t>
      </w:r>
    </w:p>
    <w:p w14:paraId="4C176BD2">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right="0" w:firstLine="643" w:firstLineChars="200"/>
        <w:jc w:val="left"/>
        <w:textAlignment w:val="auto"/>
        <w:rPr>
          <w:rFonts w:hint="eastAsia" w:ascii="楷体" w:hAnsi="楷体" w:eastAsia="楷体" w:cs="楷体"/>
          <w:b/>
          <w:bCs/>
          <w:color w:val="auto"/>
          <w:kern w:val="44"/>
          <w:sz w:val="32"/>
          <w:szCs w:val="32"/>
          <w:highlight w:val="none"/>
          <w:lang w:val="en-US" w:eastAsia="zh-CN" w:bidi="ar"/>
        </w:rPr>
      </w:pPr>
      <w:r>
        <w:rPr>
          <w:rFonts w:hint="eastAsia" w:ascii="楷体" w:hAnsi="楷体" w:eastAsia="楷体" w:cs="楷体"/>
          <w:b/>
          <w:bCs/>
          <w:color w:val="auto"/>
          <w:kern w:val="44"/>
          <w:sz w:val="32"/>
          <w:szCs w:val="32"/>
          <w:highlight w:val="none"/>
          <w:lang w:val="en-US" w:eastAsia="zh-CN" w:bidi="ar"/>
        </w:rPr>
        <w:t>（三）深化“四步工作法”推行柔性执法制度</w:t>
      </w:r>
    </w:p>
    <w:p w14:paraId="5ACAC7E3">
      <w:pPr>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beforeAutospacing="0" w:after="0" w:afterAutospacing="0" w:line="560" w:lineRule="exact"/>
        <w:ind w:left="106" w:right="0" w:rightChars="0" w:firstLine="628" w:firstLineChars="200"/>
        <w:jc w:val="left"/>
        <w:textAlignment w:val="auto"/>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pPr>
      <w:r>
        <w:rPr>
          <w:rFonts w:hint="eastAsia" w:ascii="楷体_GB2312" w:hAnsi="楷体_GB2312" w:eastAsia="楷体_GB2312" w:cs="楷体_GB2312"/>
          <w:color w:val="auto"/>
          <w:spacing w:val="5"/>
          <w:w w:val="95"/>
          <w:kern w:val="2"/>
          <w:sz w:val="32"/>
          <w:szCs w:val="22"/>
          <w:highlight w:val="none"/>
          <w:lang w:val="en-US" w:eastAsia="zh-CN" w:bidi="zh-CN"/>
        </w:rPr>
        <w:t>8.推行“四步工作法”。</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遵循“普法、告知、整改、处罚”的“四步工作法”，即首次检查以法规宣导为主；书面告知企业明确整改要求和期限；给予企业纠错缓冲期；对拒不整改或反复违规行为进行处罚。</w:t>
      </w:r>
    </w:p>
    <w:p w14:paraId="0E229876">
      <w:pPr>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before="0" w:beforeAutospacing="0" w:after="0" w:afterAutospacing="0" w:line="560" w:lineRule="exact"/>
        <w:ind w:left="106" w:right="0" w:rightChars="0" w:firstLine="628" w:firstLineChars="200"/>
        <w:jc w:val="left"/>
        <w:textAlignment w:val="auto"/>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pPr>
      <w:r>
        <w:rPr>
          <w:rFonts w:hint="eastAsia" w:ascii="楷体_GB2312" w:hAnsi="楷体_GB2312" w:eastAsia="楷体_GB2312" w:cs="楷体_GB2312"/>
          <w:color w:val="auto"/>
          <w:spacing w:val="5"/>
          <w:w w:val="95"/>
          <w:kern w:val="2"/>
          <w:sz w:val="32"/>
          <w:szCs w:val="22"/>
          <w:highlight w:val="none"/>
          <w:lang w:val="en-US" w:eastAsia="zh-CN" w:bidi="zh-CN"/>
        </w:rPr>
        <w:t>9.探索柔性执法。</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建立并不断完善“首违不罚、轻微免罚”事项清单，杜绝“小过重罚”。本着企业“无事不扰、有求必应”的原则，坚决杜绝“一人生病，全家吃药”的全覆盖、无差别检查。</w:t>
      </w:r>
    </w:p>
    <w:p w14:paraId="2F55B163">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3" w:firstLineChars="200"/>
        <w:jc w:val="left"/>
        <w:textAlignment w:val="auto"/>
        <w:rPr>
          <w:rFonts w:hint="eastAsia" w:ascii="楷体" w:hAnsi="楷体" w:eastAsia="楷体" w:cs="楷体"/>
          <w:b/>
          <w:bCs/>
          <w:color w:val="auto"/>
          <w:kern w:val="44"/>
          <w:sz w:val="32"/>
          <w:szCs w:val="32"/>
          <w:highlight w:val="none"/>
          <w:lang w:val="en-US" w:eastAsia="zh-CN" w:bidi="ar"/>
        </w:rPr>
      </w:pPr>
      <w:r>
        <w:rPr>
          <w:rFonts w:hint="eastAsia" w:ascii="楷体" w:hAnsi="楷体" w:eastAsia="楷体" w:cs="楷体"/>
          <w:b/>
          <w:bCs/>
          <w:color w:val="auto"/>
          <w:kern w:val="44"/>
          <w:sz w:val="32"/>
          <w:szCs w:val="32"/>
          <w:highlight w:val="none"/>
          <w:lang w:val="en-US" w:eastAsia="zh-CN" w:bidi="ar"/>
        </w:rPr>
        <w:t>（四）建立行政执法行为监督制度</w:t>
      </w:r>
    </w:p>
    <w:p w14:paraId="72216CEF">
      <w:pPr>
        <w:keepNext w:val="0"/>
        <w:keepLines w:val="0"/>
        <w:pageBreakBefore w:val="0"/>
        <w:widowControl w:val="0"/>
        <w:numPr>
          <w:ilvl w:val="0"/>
          <w:numId w:val="0"/>
        </w:numPr>
        <w:tabs>
          <w:tab w:val="left" w:pos="1150"/>
        </w:tabs>
        <w:kinsoku/>
        <w:wordWrap/>
        <w:overflowPunct/>
        <w:topLinePunct w:val="0"/>
        <w:autoSpaceDE w:val="0"/>
        <w:autoSpaceDN w:val="0"/>
        <w:bidi w:val="0"/>
        <w:adjustRightInd/>
        <w:snapToGrid/>
        <w:spacing w:before="0" w:beforeAutospacing="0" w:after="0" w:afterAutospacing="0" w:line="560" w:lineRule="exact"/>
        <w:ind w:left="106" w:right="0" w:rightChars="0" w:firstLine="628" w:firstLineChars="200"/>
        <w:jc w:val="left"/>
        <w:textAlignment w:val="auto"/>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pPr>
      <w:r>
        <w:rPr>
          <w:rFonts w:hint="eastAsia" w:ascii="楷体_GB2312" w:hAnsi="楷体_GB2312" w:eastAsia="楷体_GB2312" w:cs="楷体_GB2312"/>
          <w:color w:val="auto"/>
          <w:spacing w:val="5"/>
          <w:w w:val="95"/>
          <w:kern w:val="2"/>
          <w:sz w:val="32"/>
          <w:szCs w:val="22"/>
          <w:highlight w:val="none"/>
          <w:lang w:val="en-US" w:eastAsia="zh-CN" w:bidi="zh-CN"/>
        </w:rPr>
        <w:t>10.规范行政检查行为。</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对逾期未整改企业实施行政处罚时，检查单位须完整填写《行政处罚备案表》并同步报园区管委会</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或所在乡街</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所有涉企检查须严格落实国务院“五个严禁”“八个不得”要求（严禁逐利检查，不得接受被检查企业的任何馈赠、报酬、福利待遇，不得参加被检查企业提供的宴请、娱乐、旅游等活动，不得由被检查企业支付消费开支或者将检查费用转嫁给企业，不得强制企业接受指定的中介机构提供服务。严禁干扰企业正常生产经营，不得刻意要求法定代表人到场。严禁任性处罚企业，不得乱查封、乱扣押、乱冻结、动辄责令停产停业。严禁下达检查指标，不得将考核考评、预算项目绩效与检查频次、罚款数额挂钩。严禁变相检查，不得以观摩、督导、考察等名义行检查之实），认真推行“四步工作法”，确保执法程序合法合规。</w:t>
      </w:r>
    </w:p>
    <w:p w14:paraId="357D7248">
      <w:pPr>
        <w:keepNext w:val="0"/>
        <w:keepLines w:val="0"/>
        <w:pageBreakBefore w:val="0"/>
        <w:widowControl w:val="0"/>
        <w:kinsoku/>
        <w:wordWrap/>
        <w:overflowPunct/>
        <w:topLinePunct w:val="0"/>
        <w:autoSpaceDE w:val="0"/>
        <w:autoSpaceDN w:val="0"/>
        <w:bidi w:val="0"/>
        <w:adjustRightInd/>
        <w:snapToGrid/>
        <w:spacing w:before="0" w:beforeAutospacing="0" w:afterAutospacing="0" w:line="560" w:lineRule="exact"/>
        <w:ind w:left="0" w:right="0" w:firstLine="628" w:firstLineChars="200"/>
        <w:jc w:val="left"/>
        <w:textAlignment w:val="auto"/>
        <w:rPr>
          <w:rFonts w:hint="default" w:ascii="仿宋_GB2312" w:hAnsi="仿宋_GB2312" w:eastAsia="仿宋_GB2312" w:cs="仿宋_GB2312"/>
          <w:color w:val="auto"/>
          <w:spacing w:val="-14"/>
          <w:w w:val="95"/>
          <w:kern w:val="2"/>
          <w:sz w:val="32"/>
          <w:szCs w:val="22"/>
          <w:highlight w:val="none"/>
          <w:lang w:val="en-US" w:eastAsia="zh-CN" w:bidi="zh-CN"/>
        </w:rPr>
      </w:pPr>
      <w:r>
        <w:rPr>
          <w:rFonts w:hint="eastAsia" w:ascii="楷体_GB2312" w:hAnsi="楷体_GB2312" w:eastAsia="楷体_GB2312" w:cs="楷体_GB2312"/>
          <w:color w:val="auto"/>
          <w:spacing w:val="5"/>
          <w:w w:val="95"/>
          <w:kern w:val="2"/>
          <w:sz w:val="32"/>
          <w:szCs w:val="22"/>
          <w:highlight w:val="none"/>
          <w:lang w:val="en-US" w:eastAsia="zh-CN" w:bidi="zh-CN"/>
        </w:rPr>
        <w:t>11.执法监督机制。</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建立健全服务热线与违规行政检查举报电话机制。若出现违反国务院“五个严禁”“八个不得”等规定、未履行“四步工作法”程序直接处罚或</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实施未列入《龙子湖区行政检</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查事项清单</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》及各行政执法机关系统清单的检查</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，企业可向园区管委会、</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所属乡街</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或区纪委监委进行投诉。对企业反映强烈、社会影响恶劣的，直接督办并予以通报曝光；</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对涉嫌违纪或者职务违法犯罪的，依法移送纪检监察机关。</w:t>
      </w:r>
    </w:p>
    <w:p w14:paraId="2071D09A">
      <w:pPr>
        <w:keepNext w:val="0"/>
        <w:keepLines w:val="0"/>
        <w:pageBreakBefore w:val="0"/>
        <w:widowControl w:val="0"/>
        <w:kinsoku/>
        <w:wordWrap/>
        <w:overflowPunct/>
        <w:topLinePunct w:val="0"/>
        <w:autoSpaceDE w:val="0"/>
        <w:autoSpaceDN w:val="0"/>
        <w:bidi w:val="0"/>
        <w:adjustRightInd/>
        <w:snapToGrid/>
        <w:spacing w:before="0" w:beforeAutospacing="0" w:afterAutospacing="0" w:line="560" w:lineRule="exact"/>
        <w:ind w:left="0" w:right="0" w:firstLine="608" w:firstLineChars="200"/>
        <w:jc w:val="left"/>
        <w:textAlignment w:val="auto"/>
        <w:rPr>
          <w:rFonts w:hint="eastAsia" w:ascii="黑体" w:hAnsi="仿宋_GB2312" w:eastAsia="黑体" w:cs="仿宋_GB2312"/>
          <w:color w:val="auto"/>
          <w:kern w:val="2"/>
          <w:sz w:val="32"/>
          <w:szCs w:val="32"/>
          <w:highlight w:val="none"/>
          <w:lang w:val="zh-CN" w:eastAsia="zh-CN" w:bidi="zh-CN"/>
        </w:rPr>
      </w:pPr>
      <w:r>
        <w:rPr>
          <w:rFonts w:hint="eastAsia" w:ascii="黑体" w:hAnsi="仿宋_GB2312" w:eastAsia="黑体" w:cs="仿宋_GB2312"/>
          <w:color w:val="auto"/>
          <w:w w:val="95"/>
          <w:kern w:val="2"/>
          <w:sz w:val="32"/>
          <w:szCs w:val="32"/>
          <w:highlight w:val="none"/>
          <w:lang w:val="zh-CN" w:eastAsia="zh-CN" w:bidi="zh-CN"/>
        </w:rPr>
        <w:t>三、保障措施</w:t>
      </w:r>
    </w:p>
    <w:p w14:paraId="087E4135">
      <w:pPr>
        <w:keepNext w:val="0"/>
        <w:keepLines w:val="0"/>
        <w:pageBreakBefore w:val="0"/>
        <w:widowControl w:val="0"/>
        <w:numPr>
          <w:ilvl w:val="0"/>
          <w:numId w:val="0"/>
        </w:numPr>
        <w:tabs>
          <w:tab w:val="left" w:pos="1153"/>
        </w:tabs>
        <w:kinsoku/>
        <w:wordWrap/>
        <w:overflowPunct/>
        <w:topLinePunct w:val="0"/>
        <w:autoSpaceDE w:val="0"/>
        <w:autoSpaceDN w:val="0"/>
        <w:bidi w:val="0"/>
        <w:adjustRightInd/>
        <w:snapToGrid/>
        <w:spacing w:before="0" w:beforeAutospacing="0" w:after="0" w:afterAutospacing="0" w:line="560" w:lineRule="exact"/>
        <w:ind w:left="106" w:right="0" w:rightChars="0" w:firstLine="628" w:firstLineChars="200"/>
        <w:jc w:val="left"/>
        <w:textAlignment w:val="auto"/>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pPr>
      <w:r>
        <w:rPr>
          <w:rFonts w:hint="eastAsia" w:ascii="楷体_GB2312" w:hAnsi="楷体_GB2312" w:eastAsia="楷体_GB2312" w:cs="楷体_GB2312"/>
          <w:color w:val="auto"/>
          <w:spacing w:val="5"/>
          <w:w w:val="95"/>
          <w:kern w:val="2"/>
          <w:sz w:val="32"/>
          <w:szCs w:val="22"/>
          <w:highlight w:val="none"/>
          <w:lang w:val="en-US" w:eastAsia="zh-CN" w:bidi="zh-CN"/>
        </w:rPr>
        <w:t>12.组织保障。</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规范涉企行政检查是优化龙子湖区营商环境、推动经济高质量发展的关键举措。各部门和单位增强服务意识，将指导服务工作与自身职责相结合，并以企业自愿为基础，开展指导服务工作，促进企业发展，</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同时</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区纪委监委、区委办、园区管委会及各乡街要将涉企行政检查情况和评议情况纳入通报</w:t>
      </w:r>
      <w:bookmarkStart w:id="0" w:name="_GoBack"/>
      <w:bookmarkEnd w:id="0"/>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w:t>
      </w:r>
      <w:r>
        <w:rPr>
          <w:rFonts w:hint="eastAsia" w:ascii="Times New Roman" w:hAnsi="Times New Roman" w:eastAsia="仿宋_GB2312" w:cs="Times New Roman"/>
          <w:b w:val="0"/>
          <w:bCs w:val="0"/>
          <w:color w:val="000000"/>
          <w:kern w:val="2"/>
          <w:sz w:val="32"/>
          <w:szCs w:val="32"/>
          <w:highlight w:val="none"/>
          <w:shd w:val="clear" w:color="auto" w:fill="auto"/>
          <w:lang w:val="en-US" w:eastAsia="zh-CN" w:bidi="ar-SA"/>
        </w:rPr>
        <w:t>切实</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增强监督实效。</w:t>
      </w:r>
    </w:p>
    <w:p w14:paraId="02DD535E">
      <w:pPr>
        <w:keepNext w:val="0"/>
        <w:keepLines w:val="0"/>
        <w:pageBreakBefore w:val="0"/>
        <w:widowControl w:val="0"/>
        <w:numPr>
          <w:ilvl w:val="0"/>
          <w:numId w:val="0"/>
        </w:numPr>
        <w:tabs>
          <w:tab w:val="left" w:pos="1153"/>
        </w:tabs>
        <w:kinsoku/>
        <w:wordWrap/>
        <w:overflowPunct/>
        <w:topLinePunct w:val="0"/>
        <w:autoSpaceDE w:val="0"/>
        <w:autoSpaceDN w:val="0"/>
        <w:bidi w:val="0"/>
        <w:adjustRightInd/>
        <w:snapToGrid/>
        <w:spacing w:before="0" w:beforeAutospacing="0" w:after="0" w:afterAutospacing="0" w:line="560" w:lineRule="exact"/>
        <w:ind w:left="106" w:right="0" w:rightChars="0" w:firstLine="628" w:firstLineChars="200"/>
        <w:jc w:val="left"/>
        <w:textAlignment w:val="auto"/>
        <w:rPr>
          <w:rFonts w:hint="default" w:ascii="仿宋_GB2312" w:hAnsi="仿宋_GB2312" w:eastAsia="仿宋_GB2312" w:cs="仿宋_GB2312"/>
          <w:color w:val="auto"/>
          <w:spacing w:val="-14"/>
          <w:w w:val="95"/>
          <w:kern w:val="2"/>
          <w:sz w:val="32"/>
          <w:szCs w:val="22"/>
          <w:highlight w:val="none"/>
          <w:lang w:val="en-US" w:eastAsia="zh-CN" w:bidi="zh-CN"/>
        </w:rPr>
      </w:pPr>
      <w:r>
        <w:rPr>
          <w:rFonts w:hint="eastAsia" w:ascii="楷体_GB2312" w:hAnsi="楷体_GB2312" w:eastAsia="楷体_GB2312" w:cs="楷体_GB2312"/>
          <w:color w:val="auto"/>
          <w:spacing w:val="5"/>
          <w:w w:val="95"/>
          <w:kern w:val="2"/>
          <w:sz w:val="32"/>
          <w:szCs w:val="22"/>
          <w:highlight w:val="none"/>
          <w:lang w:val="en-US" w:eastAsia="zh-CN" w:bidi="zh-CN"/>
        </w:rPr>
        <w:t>13.适用范围。</w:t>
      </w:r>
      <w:r>
        <w:rPr>
          <w:rFonts w:hint="eastAsia" w:ascii="Times New Roman" w:hAnsi="Times New Roman" w:eastAsia="仿宋_GB2312" w:cs="Times New Roman"/>
          <w:b w:val="0"/>
          <w:bCs w:val="0"/>
          <w:color w:val="000000"/>
          <w:kern w:val="2"/>
          <w:sz w:val="32"/>
          <w:szCs w:val="32"/>
          <w:highlight w:val="none"/>
          <w:shd w:val="clear" w:color="auto" w:fill="auto"/>
          <w:lang w:val="zh-CN" w:eastAsia="zh-CN" w:bidi="ar-SA"/>
        </w:rPr>
        <w:t>本方案仅适用于龙子湖区工业企业。</w:t>
      </w:r>
    </w:p>
    <w:p w14:paraId="61A84F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92984"/>
    <w:rsid w:val="10692984"/>
    <w:rsid w:val="6236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2283</Words>
  <Characters>2305</Characters>
  <Lines>0</Lines>
  <Paragraphs>0</Paragraphs>
  <TotalTime>0</TotalTime>
  <ScaleCrop>false</ScaleCrop>
  <LinksUpToDate>false</LinksUpToDate>
  <CharactersWithSpaces>2305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2025-04-27T08:45:00Z</dcterms:created>
  <dc:creator>WPS_1550293413</dc:creator>
  <cp:lastModifiedBy>WPS_1550293413</cp:lastModifiedBy>
  <dcterms:modified xsi:type="dcterms:W3CDTF">2025-04-29T03:47:54Z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5D43E191DAC74242BE4F39CCFAEF082D_11</vt:lpwstr>
  </property>
  <property fmtid="{D5CDD505-2E9C-101B-9397-08002B2CF9AE}" pid="4" name="KSOTemplateDocerSaveRecord">
    <vt:lpwstr>eyJoZGlkIjoiNGYxMjFhOTA2YjdhYzYwOWIxMmQ5MWI2MmJiZWNiMTEiLCJ1c2VySWQiOiI0NzQ3NzA3MDIifQ==</vt:lpwstr>
  </property>
</Properties>
</file>