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47BFDB">
      <w:pPr>
        <w:keepNext w:val="0"/>
        <w:keepLines w:val="0"/>
        <w:pageBreakBefore w:val="0"/>
        <w:widowControl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Style w:val="12"/>
          <w:rFonts w:hint="default" w:ascii="Times New Roman" w:hAnsi="Times New Roman" w:eastAsia="方正小标宋_GBK" w:cs="Times New Roman"/>
          <w:b w:val="0"/>
          <w:snapToGrid/>
          <w:kern w:val="2"/>
          <w:sz w:val="44"/>
          <w:szCs w:val="44"/>
          <w:shd w:val="clear" w:color="auto" w:fill="FFFFFF"/>
          <w:lang w:val="en-US" w:eastAsia="zh-CN" w:bidi="ar-SA"/>
        </w:rPr>
      </w:pPr>
    </w:p>
    <w:p w14:paraId="6A0DFCA7">
      <w:pPr>
        <w:keepNext w:val="0"/>
        <w:keepLines w:val="0"/>
        <w:pageBreakBefore w:val="0"/>
        <w:widowControl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Style w:val="12"/>
          <w:rFonts w:hint="default" w:ascii="Times New Roman" w:hAnsi="Times New Roman" w:eastAsia="方正小标宋_GBK" w:cs="Times New Roman"/>
          <w:b w:val="0"/>
          <w:snapToGrid/>
          <w:kern w:val="2"/>
          <w:sz w:val="44"/>
          <w:szCs w:val="44"/>
          <w:shd w:val="clear" w:color="auto" w:fill="FFFFFF"/>
          <w:lang w:val="en-US" w:eastAsia="zh-CN" w:bidi="ar-SA"/>
        </w:rPr>
      </w:pPr>
    </w:p>
    <w:p w14:paraId="4DAEA46C">
      <w:pPr>
        <w:keepNext w:val="0"/>
        <w:keepLines w:val="0"/>
        <w:pageBreakBefore w:val="0"/>
        <w:widowControl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Style w:val="12"/>
          <w:rFonts w:hint="default" w:ascii="Times New Roman" w:hAnsi="Times New Roman" w:eastAsia="方正小标宋_GBK" w:cs="Times New Roman"/>
          <w:b w:val="0"/>
          <w:snapToGrid/>
          <w:kern w:val="2"/>
          <w:sz w:val="44"/>
          <w:szCs w:val="44"/>
          <w:shd w:val="clear" w:color="auto" w:fill="FFFFFF"/>
          <w:lang w:val="en-US" w:eastAsia="zh-CN" w:bidi="ar-SA"/>
        </w:rPr>
      </w:pPr>
      <w:r>
        <w:rPr>
          <w:rStyle w:val="12"/>
          <w:rFonts w:hint="default" w:ascii="Times New Roman" w:hAnsi="Times New Roman" w:eastAsia="方正小标宋_GBK" w:cs="Times New Roman"/>
          <w:b w:val="0"/>
          <w:snapToGrid/>
          <w:kern w:val="2"/>
          <w:sz w:val="44"/>
          <w:szCs w:val="44"/>
          <w:shd w:val="clear" w:color="auto" w:fill="FFFFFF"/>
          <w:lang w:val="en-US" w:eastAsia="zh-CN" w:bidi="ar-SA"/>
        </w:rPr>
        <w:t>中共龙子湖区委办公室</w:t>
      </w:r>
    </w:p>
    <w:p w14:paraId="6D1A8FFA">
      <w:pPr>
        <w:keepNext w:val="0"/>
        <w:keepLines w:val="0"/>
        <w:pageBreakBefore w:val="0"/>
        <w:widowControl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Style w:val="12"/>
          <w:rFonts w:hint="default" w:ascii="Times New Roman" w:hAnsi="Times New Roman" w:eastAsia="方正小标宋_GBK" w:cs="Times New Roman"/>
          <w:b w:val="0"/>
          <w:snapToGrid/>
          <w:kern w:val="2"/>
          <w:sz w:val="44"/>
          <w:szCs w:val="44"/>
          <w:shd w:val="clear" w:color="auto" w:fill="FFFFFF"/>
          <w:lang w:val="en-US" w:eastAsia="zh-CN" w:bidi="ar-SA"/>
        </w:rPr>
      </w:pPr>
      <w:r>
        <w:rPr>
          <w:rStyle w:val="12"/>
          <w:rFonts w:hint="default" w:ascii="Times New Roman" w:hAnsi="Times New Roman" w:eastAsia="方正小标宋_GBK" w:cs="Times New Roman"/>
          <w:b w:val="0"/>
          <w:snapToGrid/>
          <w:kern w:val="2"/>
          <w:sz w:val="44"/>
          <w:szCs w:val="44"/>
          <w:shd w:val="clear" w:color="auto" w:fill="FFFFFF"/>
          <w:lang w:val="en-US" w:eastAsia="zh-CN" w:bidi="ar-SA"/>
        </w:rPr>
        <w:t>龙子湖区人民政府办公室</w:t>
      </w:r>
    </w:p>
    <w:p w14:paraId="172689D6">
      <w:pPr>
        <w:keepNext w:val="0"/>
        <w:keepLines w:val="0"/>
        <w:pageBreakBefore w:val="0"/>
        <w:widowControl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Style w:val="12"/>
          <w:rFonts w:hint="default" w:ascii="Times New Roman" w:hAnsi="Times New Roman" w:eastAsia="方正小标宋_GBK" w:cs="Times New Roman"/>
          <w:b w:val="0"/>
          <w:snapToGrid/>
          <w:kern w:val="2"/>
          <w:sz w:val="44"/>
          <w:szCs w:val="44"/>
          <w:shd w:val="clear" w:color="auto" w:fill="FFFFFF"/>
          <w:lang w:val="en-US" w:eastAsia="zh-CN" w:bidi="ar-SA"/>
        </w:rPr>
      </w:pPr>
      <w:r>
        <w:rPr>
          <w:rStyle w:val="12"/>
          <w:rFonts w:hint="default" w:ascii="Times New Roman" w:hAnsi="Times New Roman" w:eastAsia="方正小标宋_GBK" w:cs="Times New Roman"/>
          <w:b w:val="0"/>
          <w:snapToGrid/>
          <w:kern w:val="2"/>
          <w:sz w:val="44"/>
          <w:szCs w:val="44"/>
          <w:shd w:val="clear" w:color="auto" w:fill="FFFFFF"/>
          <w:lang w:val="en-US" w:eastAsia="zh-CN" w:bidi="ar-SA"/>
        </w:rPr>
        <w:t>关于印发《龙子湖区就业促进行动方案》等“暖民心行动方案”的通知</w:t>
      </w:r>
    </w:p>
    <w:p w14:paraId="52596AEC">
      <w:pPr>
        <w:keepNext w:val="0"/>
        <w:keepLines w:val="0"/>
        <w:pageBreakBefore w:val="0"/>
        <w:widowControl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ab/>
      </w:r>
      <w:r>
        <w:rPr>
          <w:rFonts w:hint="default" w:ascii="Times New Roman" w:hAnsi="Times New Roman" w:eastAsia="方正仿宋_GBK" w:cs="Times New Roman"/>
          <w:snapToGrid/>
          <w:kern w:val="2"/>
          <w:sz w:val="32"/>
          <w:szCs w:val="32"/>
          <w:lang w:val="en-US" w:eastAsia="zh-CN" w:bidi="ar-SA"/>
        </w:rPr>
        <w:t>蚌龙办〔2022〕51号</w:t>
      </w:r>
    </w:p>
    <w:p w14:paraId="37EA59BD">
      <w:pPr>
        <w:keepNext w:val="0"/>
        <w:keepLines w:val="0"/>
        <w:pageBreakBefore w:val="0"/>
        <w:widowControl w:val="0"/>
        <w:kinsoku/>
        <w:overflowPunct/>
        <w:topLinePunct w:val="0"/>
        <w:autoSpaceDE/>
        <w:autoSpaceDN/>
        <w:bidi w:val="0"/>
        <w:adjustRightInd/>
        <w:snapToGrid/>
        <w:spacing w:beforeAutospacing="0" w:afterAutospacing="0" w:line="590" w:lineRule="exact"/>
        <w:ind w:left="0" w:leftChars="0" w:right="0" w:rightChars="0"/>
        <w:jc w:val="center"/>
        <w:textAlignment w:val="auto"/>
        <w:rPr>
          <w:rFonts w:hint="default" w:ascii="Times New Roman" w:hAnsi="Times New Roman" w:eastAsia="方正仿宋_GBK" w:cs="Times New Roman"/>
          <w:snapToGrid/>
          <w:kern w:val="2"/>
          <w:sz w:val="32"/>
          <w:szCs w:val="32"/>
          <w:lang w:val="en-US" w:eastAsia="zh-CN" w:bidi="ar-SA"/>
        </w:rPr>
      </w:pPr>
    </w:p>
    <w:p w14:paraId="16E7422F">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right="0" w:rightChars="0"/>
        <w:jc w:val="both"/>
        <w:textAlignment w:val="auto"/>
        <w:outlineLvl w:val="9"/>
        <w:rPr>
          <w:rFonts w:hint="default" w:ascii="Times New Roman" w:hAnsi="Times New Roman" w:eastAsia="方正仿宋_GBK" w:cs="Times New Roman"/>
          <w:snapToGrid/>
          <w:kern w:val="0"/>
          <w:sz w:val="32"/>
          <w:szCs w:val="32"/>
          <w:shd w:val="clear" w:color="auto" w:fill="FFFFFF"/>
          <w:lang w:val="en-US" w:eastAsia="zh-CN" w:bidi="ar-SA"/>
        </w:rPr>
      </w:pPr>
      <w:r>
        <w:rPr>
          <w:rFonts w:hint="default" w:ascii="Times New Roman" w:hAnsi="Times New Roman" w:eastAsia="方正仿宋_GBK" w:cs="Times New Roman"/>
          <w:snapToGrid/>
          <w:kern w:val="0"/>
          <w:sz w:val="32"/>
          <w:szCs w:val="32"/>
          <w:shd w:val="clear" w:color="auto" w:fill="FFFFFF"/>
          <w:lang w:val="en-US" w:eastAsia="zh-CN" w:bidi="ar-SA"/>
        </w:rPr>
        <w:t>李楼乡人民政府、各街道办事处，区直各部门、各直属单位：</w:t>
      </w:r>
    </w:p>
    <w:p w14:paraId="2327EF4A">
      <w:pPr>
        <w:keepNext w:val="0"/>
        <w:keepLines w:val="0"/>
        <w:pageBreakBefore w:val="0"/>
        <w:widowControl w:val="0"/>
        <w:kinsoku/>
        <w:overflowPunct/>
        <w:topLinePunct w:val="0"/>
        <w:autoSpaceDE/>
        <w:autoSpaceDN/>
        <w:bidi w:val="0"/>
        <w:adjustRightInd/>
        <w:snapToGrid/>
        <w:spacing w:beforeAutospacing="0" w:afterAutospacing="0" w:line="590" w:lineRule="exact"/>
        <w:ind w:left="0" w:leftChars="0" w:right="0" w:rightChars="0" w:firstLine="640" w:firstLineChars="200"/>
        <w:jc w:val="left"/>
        <w:textAlignment w:val="auto"/>
        <w:rPr>
          <w:rFonts w:hint="default" w:ascii="Times New Roman" w:hAnsi="Times New Roman" w:eastAsia="方正小标宋_GBK" w:cs="Times New Roman"/>
          <w:snapToGrid/>
          <w:kern w:val="0"/>
          <w:sz w:val="44"/>
          <w:szCs w:val="44"/>
          <w:shd w:val="clear" w:color="auto" w:fill="FFFFFF"/>
          <w:lang w:val="en-US" w:eastAsia="zh-CN" w:bidi="ar-SA"/>
        </w:rPr>
      </w:pPr>
      <w:r>
        <w:rPr>
          <w:rFonts w:hint="default" w:ascii="Times New Roman" w:hAnsi="Times New Roman" w:eastAsia="方正仿宋_GBK" w:cs="Times New Roman"/>
          <w:snapToGrid/>
          <w:kern w:val="0"/>
          <w:sz w:val="32"/>
          <w:szCs w:val="32"/>
          <w:shd w:val="clear" w:color="auto" w:fill="FFFFFF"/>
          <w:lang w:val="en-US" w:eastAsia="zh-CN" w:bidi="ar-SA"/>
        </w:rPr>
        <w:t>为贯彻落实省、市暖民心行动工作部署推进会议精神，实施更多有温度的举措，落实更多暖民心的行动，确保“干的事”精准对接群众“盼的事”,现将《龙子湖区就业促进行动方案》等“暖民心行动方案”印发给你们，请认真贯彻落实。</w:t>
      </w:r>
    </w:p>
    <w:p w14:paraId="793D3A1B">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color w:val="000000"/>
          <w:kern w:val="2"/>
          <w:sz w:val="32"/>
          <w:szCs w:val="32"/>
          <w:lang w:val="en-US" w:eastAsia="zh-CN" w:bidi="ar-SA"/>
        </w:rPr>
      </w:pPr>
      <w:r>
        <w:rPr>
          <w:rFonts w:hint="default" w:ascii="Times New Roman" w:hAnsi="Times New Roman" w:eastAsia="方正黑体_GBK" w:cs="Times New Roman"/>
          <w:snapToGrid/>
          <w:color w:val="000000"/>
          <w:kern w:val="2"/>
          <w:sz w:val="32"/>
          <w:szCs w:val="32"/>
          <w:lang w:val="en-US" w:eastAsia="zh-CN" w:bidi="ar-SA"/>
        </w:rPr>
        <w:t>一、总体要求</w:t>
      </w:r>
    </w:p>
    <w:p w14:paraId="6DBF0F4C">
      <w:pPr>
        <w:keepNext w:val="0"/>
        <w:keepLines w:val="0"/>
        <w:pageBreakBefore w:val="0"/>
        <w:widowControl/>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全面贯彻落实习近平新时代中国特色社会主义思想，深入学习贯彻习近平总书记关于保障和改善民生工作的重要论述和对安徽作出的系列重要讲话指示批示，坚持以人民为中心的发展思想，始终把群众呼声作为第一信号，用心用情用力解决好群众急难愁盼问题，真正让群众看到变化、见到成效、得到实惠。树牢以人民为中心的发展思想，进一步改进工作作风，切实抓好暖民心行动任务落实。落细落实举措，强化要素支撑保障，真正为群众解难题增福祉，主动回应群众关切，认认真真把好事办好、实事办实。</w:t>
      </w:r>
    </w:p>
    <w:p w14:paraId="3268DB43">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color w:val="000000"/>
          <w:kern w:val="2"/>
          <w:sz w:val="32"/>
          <w:szCs w:val="32"/>
          <w:lang w:val="en-US" w:eastAsia="zh-CN" w:bidi="ar-SA"/>
        </w:rPr>
      </w:pPr>
      <w:r>
        <w:rPr>
          <w:rFonts w:hint="default" w:ascii="Times New Roman" w:hAnsi="Times New Roman" w:eastAsia="方正黑体_GBK" w:cs="Times New Roman"/>
          <w:snapToGrid/>
          <w:color w:val="000000"/>
          <w:kern w:val="2"/>
          <w:sz w:val="32"/>
          <w:szCs w:val="32"/>
          <w:lang w:val="en-US" w:eastAsia="zh-CN" w:bidi="ar-SA"/>
        </w:rPr>
        <w:t>二、主要任务</w:t>
      </w:r>
    </w:p>
    <w:p w14:paraId="52C86880">
      <w:pPr>
        <w:keepNext w:val="0"/>
        <w:keepLines w:val="0"/>
        <w:pageBreakBefore w:val="0"/>
        <w:widowControl/>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color w:val="000000"/>
          <w:kern w:val="2"/>
          <w:sz w:val="32"/>
          <w:szCs w:val="32"/>
          <w:lang w:val="en-US" w:eastAsia="zh-CN" w:bidi="ar-SA"/>
        </w:rPr>
      </w:pPr>
      <w:r>
        <w:rPr>
          <w:rFonts w:hint="default" w:ascii="Times New Roman" w:hAnsi="Times New Roman" w:eastAsia="方正楷体_GBK" w:cs="Times New Roman"/>
          <w:snapToGrid/>
          <w:color w:val="000000"/>
          <w:kern w:val="2"/>
          <w:sz w:val="32"/>
          <w:szCs w:val="32"/>
          <w:lang w:val="en-US" w:eastAsia="zh-CN" w:bidi="ar-SA"/>
        </w:rPr>
        <w:t>（一）就业促进行动：</w:t>
      </w:r>
      <w:r>
        <w:rPr>
          <w:rFonts w:hint="default" w:ascii="Times New Roman" w:hAnsi="Times New Roman" w:eastAsia="方正仿宋_GBK" w:cs="Times New Roman"/>
          <w:snapToGrid/>
          <w:kern w:val="2"/>
          <w:sz w:val="32"/>
          <w:szCs w:val="32"/>
          <w:shd w:val="clear" w:color="auto" w:fill="FFFFFF"/>
          <w:lang w:val="en-US" w:eastAsia="zh-CN" w:bidi="ar-SA"/>
        </w:rPr>
        <w:t>聚焦社区“三公里”内困难群众就业不充分、劳动用工信息不对称等突出问题,通过搭建就业服务平台、帮扶困难群体就业、促进重点群体就业、强化用工服务、发放就业补贴等举措,切实织密就业帮扶“一张网”,促进社区居民就近就业、充分就业,有效缓解企业缺工问题。</w:t>
      </w:r>
      <w:r>
        <w:rPr>
          <w:rFonts w:hint="default" w:ascii="Times New Roman" w:hAnsi="Times New Roman" w:eastAsia="方正楷体_GBK" w:cs="Times New Roman"/>
          <w:snapToGrid/>
          <w:color w:val="000000"/>
          <w:kern w:val="2"/>
          <w:sz w:val="32"/>
          <w:szCs w:val="32"/>
          <w:lang w:val="en-US" w:eastAsia="zh-CN" w:bidi="ar-SA"/>
        </w:rPr>
        <w:t>（牵头单位：区人社局）</w:t>
      </w:r>
    </w:p>
    <w:p w14:paraId="53A4D9BD">
      <w:pPr>
        <w:keepNext w:val="0"/>
        <w:keepLines w:val="0"/>
        <w:pageBreakBefore w:val="0"/>
        <w:widowControl/>
        <w:numPr>
          <w:ilvl w:val="0"/>
          <w:numId w:val="0"/>
        </w:numP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color w:val="000000"/>
          <w:kern w:val="2"/>
          <w:sz w:val="32"/>
          <w:szCs w:val="32"/>
          <w:lang w:val="en-US" w:eastAsia="zh-CN" w:bidi="ar-SA"/>
        </w:rPr>
      </w:pPr>
      <w:r>
        <w:rPr>
          <w:rFonts w:hint="default" w:ascii="Times New Roman" w:hAnsi="Times New Roman" w:eastAsia="方正楷体_GBK" w:cs="Times New Roman"/>
          <w:snapToGrid/>
          <w:color w:val="000000"/>
          <w:kern w:val="2"/>
          <w:sz w:val="32"/>
          <w:szCs w:val="32"/>
          <w:lang w:val="en-US" w:eastAsia="zh-CN" w:bidi="ar-SA"/>
        </w:rPr>
        <w:t>（二）“新徽菜·名徽厨”行动：</w:t>
      </w:r>
      <w:r>
        <w:rPr>
          <w:rFonts w:hint="default" w:ascii="Times New Roman" w:hAnsi="Times New Roman" w:eastAsia="方正仿宋_GBK" w:cs="Times New Roman"/>
          <w:snapToGrid/>
          <w:kern w:val="2"/>
          <w:sz w:val="32"/>
          <w:szCs w:val="32"/>
          <w:shd w:val="clear" w:color="auto" w:fill="FFFFFF"/>
          <w:lang w:val="en-US" w:eastAsia="zh-CN" w:bidi="ar-SA"/>
        </w:rPr>
        <w:t>聚焦提升徽菜烹饪技术水平、促进徽菜餐饮产业发展、打造徽菜美食文化品牌,从加强职业技能培训、开展职业技能竞赛、打造创业街区、构建菜品标准、助力品牌培育等方面,推动推出特色好菜、好厨师。</w:t>
      </w:r>
      <w:r>
        <w:rPr>
          <w:rFonts w:hint="default" w:ascii="Times New Roman" w:hAnsi="Times New Roman" w:eastAsia="方正楷体_GBK" w:cs="Times New Roman"/>
          <w:snapToGrid/>
          <w:color w:val="000000"/>
          <w:kern w:val="2"/>
          <w:sz w:val="32"/>
          <w:szCs w:val="32"/>
          <w:lang w:val="en-US" w:eastAsia="zh-CN" w:bidi="ar-SA"/>
        </w:rPr>
        <w:t>（牵头单位：区人社局）</w:t>
      </w:r>
    </w:p>
    <w:p w14:paraId="0B3BF356">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color w:val="000000"/>
          <w:kern w:val="2"/>
          <w:sz w:val="32"/>
          <w:szCs w:val="32"/>
          <w:lang w:val="en-US" w:eastAsia="zh-CN" w:bidi="ar-SA"/>
        </w:rPr>
      </w:pPr>
      <w:r>
        <w:rPr>
          <w:rFonts w:hint="default" w:ascii="Times New Roman" w:hAnsi="Times New Roman" w:eastAsia="方正楷体_GBK" w:cs="Times New Roman"/>
          <w:snapToGrid/>
          <w:color w:val="000000"/>
          <w:kern w:val="2"/>
          <w:sz w:val="32"/>
          <w:szCs w:val="32"/>
          <w:lang w:val="en-US" w:eastAsia="zh-CN" w:bidi="ar-SA"/>
        </w:rPr>
        <w:t>（三）老年助餐行动：</w:t>
      </w:r>
      <w:r>
        <w:rPr>
          <w:rFonts w:hint="default" w:ascii="Times New Roman" w:hAnsi="Times New Roman" w:eastAsia="方正仿宋_GBK" w:cs="Times New Roman"/>
          <w:snapToGrid/>
          <w:kern w:val="2"/>
          <w:sz w:val="32"/>
          <w:szCs w:val="32"/>
          <w:shd w:val="clear" w:color="auto" w:fill="FFFFFF"/>
          <w:lang w:val="en-US" w:eastAsia="zh-CN" w:bidi="ar-SA"/>
        </w:rPr>
        <w:t>从合理布局服务设施、建设老年食堂、规范助餐服务、推动社会力量参与等方面，建成布局均衡、方便可及、多元主体参与的老年助餐服务网络，努力保障老年人“舌尖上的幸福晚年”。</w:t>
      </w:r>
      <w:r>
        <w:rPr>
          <w:rFonts w:hint="default" w:ascii="Times New Roman" w:hAnsi="Times New Roman" w:eastAsia="方正楷体_GBK" w:cs="Times New Roman"/>
          <w:snapToGrid/>
          <w:color w:val="000000"/>
          <w:kern w:val="2"/>
          <w:sz w:val="32"/>
          <w:szCs w:val="32"/>
          <w:lang w:val="en-US" w:eastAsia="zh-CN" w:bidi="ar-SA"/>
        </w:rPr>
        <w:t>（牵头单位：区民政局）</w:t>
      </w:r>
    </w:p>
    <w:p w14:paraId="24417CA8">
      <w:pPr>
        <w:keepNext w:val="0"/>
        <w:keepLines w:val="0"/>
        <w:pageBreakBefore w:val="0"/>
        <w:widowControl w:val="0"/>
        <w:shd w:val="clear"/>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color w:val="000000"/>
          <w:kern w:val="2"/>
          <w:sz w:val="32"/>
          <w:szCs w:val="32"/>
          <w:lang w:val="en-US" w:eastAsia="zh-CN" w:bidi="ar-SA"/>
        </w:rPr>
      </w:pPr>
      <w:r>
        <w:rPr>
          <w:rFonts w:hint="default" w:ascii="Times New Roman" w:hAnsi="Times New Roman" w:eastAsia="方正楷体_GBK" w:cs="Times New Roman"/>
          <w:snapToGrid/>
          <w:color w:val="000000"/>
          <w:kern w:val="2"/>
          <w:sz w:val="32"/>
          <w:szCs w:val="32"/>
          <w:lang w:val="en-US" w:eastAsia="zh-CN" w:bidi="ar-SA"/>
        </w:rPr>
        <w:t>（四）健康口腔行动：</w:t>
      </w:r>
      <w:r>
        <w:rPr>
          <w:rFonts w:hint="default" w:ascii="Times New Roman" w:hAnsi="Times New Roman" w:eastAsia="方正仿宋_GBK" w:cs="Times New Roman"/>
          <w:snapToGrid/>
          <w:kern w:val="2"/>
          <w:sz w:val="32"/>
          <w:szCs w:val="32"/>
          <w:shd w:val="clear" w:color="auto" w:fill="FFFFFF"/>
          <w:lang w:val="en-US" w:eastAsia="zh-CN" w:bidi="ar-SA"/>
        </w:rPr>
        <w:t>针对口腔医疗机构规模小、专业人员相对不足等问题，通过加强口腔预防保健、建设口腔医联体、增强专业技术力量等措施，缓解看牙贵、看牙难情况。</w:t>
      </w:r>
      <w:r>
        <w:rPr>
          <w:rFonts w:hint="default" w:ascii="Times New Roman" w:hAnsi="Times New Roman" w:eastAsia="方正楷体_GBK" w:cs="Times New Roman"/>
          <w:snapToGrid/>
          <w:color w:val="000000"/>
          <w:kern w:val="2"/>
          <w:sz w:val="32"/>
          <w:szCs w:val="32"/>
          <w:lang w:val="en-US" w:eastAsia="zh-CN" w:bidi="ar-SA"/>
        </w:rPr>
        <w:t>（牵头单位：区卫健委）</w:t>
      </w:r>
    </w:p>
    <w:p w14:paraId="3837F27B">
      <w:pPr>
        <w:keepNext w:val="0"/>
        <w:keepLines w:val="0"/>
        <w:pageBreakBefore w:val="0"/>
        <w:widowControl/>
        <w:shd w:val="clear" w:color="auto"/>
        <w:kinsoku/>
        <w:overflowPunct/>
        <w:topLinePunct w:val="0"/>
        <w:autoSpaceDE/>
        <w:autoSpaceDN/>
        <w:bidi w:val="0"/>
        <w:spacing w:before="0" w:beforeAutospacing="0" w:after="0" w:afterAutospacing="0" w:line="590" w:lineRule="exact"/>
        <w:ind w:left="0" w:right="0" w:firstLine="640" w:firstLineChars="200"/>
        <w:jc w:val="left"/>
        <w:textAlignment w:val="auto"/>
        <w:rPr>
          <w:rFonts w:hint="default" w:ascii="Times New Roman" w:hAnsi="Times New Roman" w:eastAsia="方正楷体_GBK" w:cs="Times New Roman"/>
          <w:color w:val="000000"/>
          <w:kern w:val="2"/>
          <w:sz w:val="32"/>
          <w:szCs w:val="32"/>
          <w:lang w:val="en-US" w:eastAsia="zh-CN" w:bidi="ar-SA"/>
        </w:rPr>
      </w:pPr>
      <w:r>
        <w:rPr>
          <w:rFonts w:hint="default" w:ascii="Times New Roman" w:hAnsi="Times New Roman" w:eastAsia="方正楷体_GBK" w:cs="Times New Roman"/>
          <w:color w:val="000000"/>
          <w:kern w:val="2"/>
          <w:sz w:val="32"/>
          <w:szCs w:val="32"/>
          <w:lang w:val="en-US" w:eastAsia="zh-CN" w:bidi="ar-SA"/>
        </w:rPr>
        <w:t>（五）安心托幼行动：</w:t>
      </w:r>
      <w:r>
        <w:rPr>
          <w:rFonts w:hint="default" w:ascii="Times New Roman" w:hAnsi="Times New Roman" w:eastAsia="方正仿宋_GBK" w:cs="Times New Roman"/>
          <w:kern w:val="0"/>
          <w:sz w:val="32"/>
          <w:szCs w:val="32"/>
          <w:shd w:val="clear" w:color="auto" w:fill="FFFFFF"/>
          <w:lang w:val="en-US" w:eastAsia="zh-CN" w:bidi="ar"/>
        </w:rPr>
        <w:t>通过补齐配全托位、优化幼儿园布局、配齐公办园学位、提供延时服务、明确收费政策等系列举措,让群众“托”得放心、暖心、安心。</w:t>
      </w:r>
      <w:r>
        <w:rPr>
          <w:rFonts w:hint="default" w:ascii="Times New Roman" w:hAnsi="Times New Roman" w:eastAsia="方正楷体_GBK" w:cs="Times New Roman"/>
          <w:color w:val="000000"/>
          <w:kern w:val="2"/>
          <w:sz w:val="32"/>
          <w:szCs w:val="32"/>
          <w:lang w:val="en-US" w:eastAsia="zh-CN" w:bidi="ar-SA"/>
        </w:rPr>
        <w:t>（托育牵头单位：区卫健委，托幼牵头单位：区教体局）</w:t>
      </w:r>
    </w:p>
    <w:p w14:paraId="4A3FFE3C">
      <w:pPr>
        <w:keepNext w:val="0"/>
        <w:keepLines w:val="0"/>
        <w:pageBreakBefore w:val="0"/>
        <w:widowControl/>
        <w:shd w:val="clear" w:color="auto"/>
        <w:kinsoku/>
        <w:overflowPunct/>
        <w:topLinePunct w:val="0"/>
        <w:autoSpaceDE/>
        <w:autoSpaceDN/>
        <w:bidi w:val="0"/>
        <w:spacing w:before="0" w:beforeAutospacing="0" w:after="0" w:afterAutospacing="0" w:line="590" w:lineRule="exact"/>
        <w:ind w:left="0" w:right="0" w:firstLine="640" w:firstLineChars="200"/>
        <w:jc w:val="left"/>
        <w:textAlignment w:val="auto"/>
        <w:rPr>
          <w:rFonts w:hint="default" w:ascii="Times New Roman" w:hAnsi="Times New Roman" w:eastAsia="方正楷体_GBK" w:cs="Times New Roman"/>
          <w:color w:val="000000"/>
          <w:kern w:val="2"/>
          <w:sz w:val="32"/>
          <w:szCs w:val="32"/>
          <w:lang w:val="en-US" w:eastAsia="zh-CN" w:bidi="ar-SA"/>
        </w:rPr>
      </w:pPr>
      <w:r>
        <w:rPr>
          <w:rFonts w:hint="default" w:ascii="Times New Roman" w:hAnsi="Times New Roman" w:eastAsia="方正楷体_GBK" w:cs="Times New Roman"/>
          <w:color w:val="000000"/>
          <w:kern w:val="2"/>
          <w:sz w:val="32"/>
          <w:szCs w:val="32"/>
          <w:lang w:val="en-US" w:eastAsia="zh-CN" w:bidi="ar-SA"/>
        </w:rPr>
        <w:t>（六）快乐健身行动：</w:t>
      </w:r>
      <w:r>
        <w:rPr>
          <w:rFonts w:hint="default" w:ascii="Times New Roman" w:hAnsi="Times New Roman" w:eastAsia="方正仿宋_GBK" w:cs="Times New Roman"/>
          <w:kern w:val="0"/>
          <w:sz w:val="32"/>
          <w:szCs w:val="32"/>
          <w:shd w:val="clear" w:color="auto" w:fill="FFFFFF"/>
          <w:lang w:val="en-US" w:eastAsia="zh-CN" w:bidi="ar"/>
        </w:rPr>
        <w:t>聚焦当前体育场地少、健身设施缺、健身普及低等问题,通过完善健身设施、建设健身步道、开放公共体育场馆和学校场地、丰富赛事活动等举措,让更广大群众快乐加入到体育健身中来。</w:t>
      </w:r>
      <w:r>
        <w:rPr>
          <w:rFonts w:hint="default" w:ascii="Times New Roman" w:hAnsi="Times New Roman" w:eastAsia="方正楷体_GBK" w:cs="Times New Roman"/>
          <w:color w:val="000000"/>
          <w:kern w:val="2"/>
          <w:sz w:val="32"/>
          <w:szCs w:val="32"/>
          <w:lang w:val="en-US" w:eastAsia="zh-CN" w:bidi="ar-SA"/>
        </w:rPr>
        <w:t>（牵头单位：区教体局）</w:t>
      </w:r>
    </w:p>
    <w:p w14:paraId="5F2B99AD">
      <w:pPr>
        <w:keepNext w:val="0"/>
        <w:keepLines w:val="0"/>
        <w:pageBreakBefore w:val="0"/>
        <w:widowControl w:val="0"/>
        <w:shd w:val="clear"/>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color w:val="000000"/>
          <w:kern w:val="2"/>
          <w:sz w:val="32"/>
          <w:szCs w:val="32"/>
          <w:lang w:val="en-US" w:eastAsia="zh-CN" w:bidi="ar-SA"/>
        </w:rPr>
      </w:pPr>
      <w:r>
        <w:rPr>
          <w:rFonts w:hint="default" w:ascii="Times New Roman" w:hAnsi="Times New Roman" w:eastAsia="方正楷体_GBK" w:cs="Times New Roman"/>
          <w:snapToGrid/>
          <w:color w:val="000000"/>
          <w:kern w:val="2"/>
          <w:sz w:val="32"/>
          <w:szCs w:val="32"/>
          <w:lang w:val="en-US" w:eastAsia="zh-CN" w:bidi="ar-SA"/>
        </w:rPr>
        <w:t>（七）便民停车行动：</w:t>
      </w:r>
      <w:r>
        <w:rPr>
          <w:rFonts w:hint="default" w:ascii="Times New Roman" w:hAnsi="Times New Roman" w:eastAsia="方正仿宋_GBK" w:cs="Times New Roman"/>
          <w:snapToGrid/>
          <w:kern w:val="2"/>
          <w:sz w:val="32"/>
          <w:szCs w:val="32"/>
          <w:shd w:val="clear" w:color="auto" w:fill="FFFFFF"/>
          <w:lang w:val="en-US" w:eastAsia="zh-CN" w:bidi="ar-SA"/>
        </w:rPr>
        <w:t>通过完善停车设施规划、优化停车设施布局、提升停车配套服务等举措,基本建成以新建配建停车泊位为主、盘活存量停车泊位为辅、路内停车泊位为补充的城市停车供给体系。</w:t>
      </w:r>
      <w:r>
        <w:rPr>
          <w:rFonts w:hint="default" w:ascii="Times New Roman" w:hAnsi="Times New Roman" w:eastAsia="方正楷体_GBK" w:cs="Times New Roman"/>
          <w:snapToGrid/>
          <w:color w:val="000000"/>
          <w:kern w:val="2"/>
          <w:sz w:val="32"/>
          <w:szCs w:val="32"/>
          <w:lang w:val="en-US" w:eastAsia="zh-CN" w:bidi="ar-SA"/>
        </w:rPr>
        <w:t>（牵头单位：区城市管理局）</w:t>
      </w:r>
    </w:p>
    <w:p w14:paraId="1E7ECD77">
      <w:pPr>
        <w:keepNext w:val="0"/>
        <w:keepLines w:val="0"/>
        <w:pageBreakBefore w:val="0"/>
        <w:widowControl w:val="0"/>
        <w:shd w:val="clear"/>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color w:val="000000"/>
          <w:kern w:val="2"/>
          <w:sz w:val="32"/>
          <w:szCs w:val="32"/>
          <w:lang w:val="en-US" w:eastAsia="zh-CN" w:bidi="ar-SA"/>
        </w:rPr>
      </w:pPr>
      <w:r>
        <w:rPr>
          <w:rFonts w:hint="default" w:ascii="Times New Roman" w:hAnsi="Times New Roman" w:eastAsia="方正楷体_GBK" w:cs="Times New Roman"/>
          <w:snapToGrid/>
          <w:color w:val="000000"/>
          <w:kern w:val="2"/>
          <w:sz w:val="32"/>
          <w:szCs w:val="32"/>
          <w:lang w:val="en-US" w:eastAsia="zh-CN" w:bidi="ar-SA"/>
        </w:rPr>
        <w:t>（八）放心家政行动：</w:t>
      </w:r>
      <w:r>
        <w:rPr>
          <w:rFonts w:hint="default" w:ascii="Times New Roman" w:hAnsi="Times New Roman" w:eastAsia="方正仿宋_GBK" w:cs="Times New Roman"/>
          <w:snapToGrid/>
          <w:kern w:val="2"/>
          <w:sz w:val="32"/>
          <w:szCs w:val="32"/>
          <w:lang w:val="en-US" w:eastAsia="zh-CN" w:bidi="ar-SA"/>
        </w:rPr>
        <w:t>通过提升人员素质、培育龙头企业、强化诚信体系、推动服务创新等措施,让从业人员更专业、让广大雇主更放心</w:t>
      </w:r>
      <w:r>
        <w:rPr>
          <w:rFonts w:hint="default" w:ascii="Times New Roman" w:hAnsi="Times New Roman" w:eastAsia="方正仿宋_GBK" w:cs="Times New Roman"/>
          <w:snapToGrid/>
          <w:kern w:val="2"/>
          <w:sz w:val="32"/>
          <w:szCs w:val="32"/>
          <w:shd w:val="clear" w:color="auto" w:fill="FFFFFF"/>
          <w:lang w:val="en-US" w:eastAsia="zh-CN" w:bidi="ar-SA"/>
        </w:rPr>
        <w:t>。</w:t>
      </w:r>
      <w:r>
        <w:rPr>
          <w:rFonts w:hint="default" w:ascii="Times New Roman" w:hAnsi="Times New Roman" w:eastAsia="方正楷体_GBK" w:cs="Times New Roman"/>
          <w:snapToGrid/>
          <w:color w:val="000000"/>
          <w:kern w:val="2"/>
          <w:sz w:val="32"/>
          <w:szCs w:val="32"/>
          <w:lang w:val="en-US" w:eastAsia="zh-CN" w:bidi="ar-SA"/>
        </w:rPr>
        <w:t>（牵头单位：区商务外事局）</w:t>
      </w:r>
    </w:p>
    <w:p w14:paraId="267C5FB0">
      <w:pPr>
        <w:keepNext w:val="0"/>
        <w:keepLines w:val="0"/>
        <w:pageBreakBefore w:val="0"/>
        <w:widowControl w:val="0"/>
        <w:shd w:val="clear"/>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color w:val="000000"/>
          <w:kern w:val="2"/>
          <w:sz w:val="32"/>
          <w:szCs w:val="32"/>
          <w:lang w:val="en-US" w:eastAsia="zh-CN" w:bidi="ar-SA"/>
        </w:rPr>
      </w:pPr>
      <w:r>
        <w:rPr>
          <w:rFonts w:hint="default" w:ascii="Times New Roman" w:hAnsi="Times New Roman" w:eastAsia="方正楷体_GBK" w:cs="Times New Roman"/>
          <w:snapToGrid/>
          <w:color w:val="000000"/>
          <w:kern w:val="2"/>
          <w:sz w:val="32"/>
          <w:szCs w:val="32"/>
          <w:lang w:val="en-US" w:eastAsia="zh-CN" w:bidi="ar-SA"/>
        </w:rPr>
        <w:t>（九）文明菜市行动：</w:t>
      </w:r>
      <w:r>
        <w:rPr>
          <w:rFonts w:hint="default" w:ascii="Times New Roman" w:hAnsi="Times New Roman" w:eastAsia="方正仿宋_GBK" w:cs="Times New Roman"/>
          <w:snapToGrid/>
          <w:kern w:val="2"/>
          <w:sz w:val="32"/>
          <w:szCs w:val="32"/>
          <w:lang w:val="en-US" w:eastAsia="zh-CN" w:bidi="ar-SA"/>
        </w:rPr>
        <w:t>按照“政府主导、市场主责，属地管理、压实责任，突出重点、稳步实施”的思路，开展菜市集中整治和</w:t>
      </w:r>
      <w:r>
        <w:rPr>
          <w:rFonts w:hint="default" w:ascii="Times New Roman" w:hAnsi="Times New Roman" w:eastAsia="方正仿宋_GBK" w:cs="Times New Roman"/>
          <w:snapToGrid/>
          <w:kern w:val="2"/>
          <w:sz w:val="32"/>
          <w:szCs w:val="32"/>
          <w:shd w:val="clear" w:color="auto" w:fill="FFFFFF"/>
          <w:lang w:val="en-US" w:eastAsia="zh-CN" w:bidi="ar-SA"/>
        </w:rPr>
        <w:t>改造提升，构建良性长效管理机制，有效解决菜市“臭烘烘、湿漉漉、黑乎乎、乱糟糟”等突出问题，打造“干净卫生、清洁明亮、管理有序”的文明菜市。</w:t>
      </w:r>
      <w:r>
        <w:rPr>
          <w:rFonts w:hint="default" w:ascii="Times New Roman" w:hAnsi="Times New Roman" w:eastAsia="方正楷体_GBK" w:cs="Times New Roman"/>
          <w:snapToGrid/>
          <w:color w:val="000000"/>
          <w:kern w:val="2"/>
          <w:sz w:val="32"/>
          <w:szCs w:val="32"/>
          <w:lang w:val="en-US" w:eastAsia="zh-CN" w:bidi="ar-SA"/>
        </w:rPr>
        <w:t>（牵头单位：区商务外事局）</w:t>
      </w:r>
    </w:p>
    <w:p w14:paraId="5841AA11">
      <w:pPr>
        <w:keepNext w:val="0"/>
        <w:keepLines w:val="0"/>
        <w:pageBreakBefore w:val="0"/>
        <w:widowControl/>
        <w:shd w:val="clear" w:color="auto"/>
        <w:kinsoku/>
        <w:overflowPunct/>
        <w:topLinePunct w:val="0"/>
        <w:autoSpaceDE/>
        <w:autoSpaceDN/>
        <w:bidi w:val="0"/>
        <w:spacing w:before="0" w:beforeAutospacing="0" w:after="0" w:afterAutospacing="0" w:line="590" w:lineRule="exact"/>
        <w:ind w:left="0" w:right="0"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bidi="ar"/>
        </w:rPr>
      </w:pPr>
      <w:r>
        <w:rPr>
          <w:rFonts w:hint="default" w:ascii="Times New Roman" w:hAnsi="Times New Roman" w:eastAsia="方正楷体_GBK" w:cs="Times New Roman"/>
          <w:color w:val="000000"/>
          <w:kern w:val="2"/>
          <w:sz w:val="32"/>
          <w:szCs w:val="32"/>
          <w:lang w:val="en-US" w:eastAsia="zh-CN" w:bidi="ar-SA"/>
        </w:rPr>
        <w:t>（十）老有所学行动：</w:t>
      </w:r>
      <w:r>
        <w:rPr>
          <w:rFonts w:hint="default" w:ascii="Times New Roman" w:hAnsi="Times New Roman" w:eastAsia="方正仿宋_GBK" w:cs="Times New Roman"/>
          <w:kern w:val="0"/>
          <w:sz w:val="32"/>
          <w:szCs w:val="32"/>
          <w:shd w:val="clear" w:color="auto" w:fill="FFFFFF"/>
          <w:lang w:val="en-US" w:eastAsia="zh-CN" w:bidi="ar"/>
        </w:rPr>
        <w:t>坚持“公益性、普惠性、均等性、便利性”原则，着力缓解老年学校“一位难求”、学习不便、基层薄弱等问题，通过“改建一批、扩容一批、新设一批、网办一批”方式,扩充办学容量,提升教学质量,为老有所学提供更多便利。</w:t>
      </w:r>
      <w:r>
        <w:rPr>
          <w:rFonts w:hint="default" w:ascii="Times New Roman" w:hAnsi="Times New Roman" w:eastAsia="方正楷体_GBK" w:cs="Times New Roman"/>
          <w:color w:val="000000"/>
          <w:kern w:val="2"/>
          <w:sz w:val="32"/>
          <w:szCs w:val="32"/>
          <w:lang w:val="en-US" w:eastAsia="zh-CN" w:bidi="ar-SA"/>
        </w:rPr>
        <w:t>（牵头单位：区教体局）</w:t>
      </w:r>
    </w:p>
    <w:p w14:paraId="7E2C4246">
      <w:pPr>
        <w:keepNext w:val="0"/>
        <w:keepLines w:val="0"/>
        <w:pageBreakBefore w:val="0"/>
        <w:widowControl w:val="0"/>
        <w:shd w:val="clear"/>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color w:val="000000"/>
          <w:kern w:val="2"/>
          <w:sz w:val="32"/>
          <w:szCs w:val="32"/>
          <w:lang w:val="en-US" w:eastAsia="zh-CN" w:bidi="ar-SA"/>
        </w:rPr>
      </w:pPr>
      <w:r>
        <w:rPr>
          <w:rFonts w:hint="default" w:ascii="Times New Roman" w:hAnsi="Times New Roman" w:eastAsia="方正黑体_GBK" w:cs="Times New Roman"/>
          <w:snapToGrid/>
          <w:color w:val="000000"/>
          <w:kern w:val="2"/>
          <w:sz w:val="32"/>
          <w:szCs w:val="32"/>
          <w:lang w:val="en-US" w:eastAsia="zh-CN" w:bidi="ar-SA"/>
        </w:rPr>
        <w:t>三、保障措施</w:t>
      </w:r>
    </w:p>
    <w:p w14:paraId="52C476BE">
      <w:pPr>
        <w:keepNext w:val="0"/>
        <w:keepLines w:val="0"/>
        <w:pageBreakBefore w:val="0"/>
        <w:widowControl/>
        <w:shd w:val="clear" w:color="auto"/>
        <w:kinsoku/>
        <w:overflowPunct/>
        <w:topLinePunct w:val="0"/>
        <w:autoSpaceDE/>
        <w:autoSpaceDN/>
        <w:bidi w:val="0"/>
        <w:spacing w:before="0" w:beforeAutospacing="0" w:after="0" w:afterAutospacing="0" w:line="590" w:lineRule="exact"/>
        <w:ind w:left="0" w:right="0"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bidi="ar"/>
        </w:rPr>
      </w:pPr>
      <w:r>
        <w:rPr>
          <w:rFonts w:hint="eastAsia" w:ascii="Times New Roman" w:hAnsi="Times New Roman" w:eastAsia="方正楷体_GBK" w:cs="Times New Roman"/>
          <w:color w:val="000000"/>
          <w:kern w:val="2"/>
          <w:sz w:val="32"/>
          <w:szCs w:val="32"/>
          <w:lang w:val="en-US" w:eastAsia="zh-CN" w:bidi="ar-SA"/>
        </w:rPr>
        <w:t>（一）</w:t>
      </w:r>
      <w:r>
        <w:rPr>
          <w:rFonts w:hint="default" w:ascii="Times New Roman" w:hAnsi="Times New Roman" w:eastAsia="方正楷体_GBK" w:cs="Times New Roman"/>
          <w:color w:val="000000"/>
          <w:kern w:val="2"/>
          <w:sz w:val="32"/>
          <w:szCs w:val="32"/>
          <w:lang w:val="en-US" w:eastAsia="zh-CN" w:bidi="ar-SA"/>
        </w:rPr>
        <w:t>强化组织领导。</w:t>
      </w:r>
      <w:r>
        <w:rPr>
          <w:rFonts w:hint="default" w:ascii="Times New Roman" w:hAnsi="Times New Roman" w:eastAsia="方正仿宋_GBK" w:cs="Times New Roman"/>
          <w:kern w:val="0"/>
          <w:sz w:val="32"/>
          <w:szCs w:val="32"/>
          <w:shd w:val="clear" w:color="auto" w:fill="FFFFFF"/>
          <w:lang w:val="en-US" w:eastAsia="zh-CN" w:bidi="ar"/>
        </w:rPr>
        <w:t>成立暖民心工作领导小组，区委书记、区政府区长担任组长,区委副书记、区政府副区长担任副组长，相关区直部门和乡街主要负责同志为领导小组成员。领导小组下设宣传组、推进组、督导组。</w:t>
      </w:r>
    </w:p>
    <w:p w14:paraId="3DDB1294">
      <w:pPr>
        <w:keepNext w:val="0"/>
        <w:keepLines w:val="0"/>
        <w:pageBreakBefore w:val="0"/>
        <w:widowControl/>
        <w:shd w:val="clear" w:color="auto"/>
        <w:kinsoku/>
        <w:overflowPunct/>
        <w:topLinePunct w:val="0"/>
        <w:autoSpaceDE/>
        <w:autoSpaceDN/>
        <w:bidi w:val="0"/>
        <w:spacing w:before="0" w:beforeAutospacing="0" w:after="0" w:afterAutospacing="0" w:line="590" w:lineRule="exact"/>
        <w:ind w:left="0" w:right="0"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bidi="ar"/>
        </w:rPr>
      </w:pPr>
      <w:r>
        <w:rPr>
          <w:rFonts w:hint="default" w:ascii="Times New Roman" w:hAnsi="Times New Roman" w:eastAsia="方正楷体_GBK" w:cs="Times New Roman"/>
          <w:color w:val="000000"/>
          <w:kern w:val="2"/>
          <w:sz w:val="32"/>
          <w:szCs w:val="32"/>
          <w:lang w:val="en-US" w:eastAsia="zh-CN" w:bidi="ar-SA"/>
        </w:rPr>
        <w:t>（二）强化责任落实。</w:t>
      </w:r>
      <w:r>
        <w:rPr>
          <w:rFonts w:hint="default" w:ascii="Times New Roman" w:hAnsi="Times New Roman" w:eastAsia="方正仿宋_GBK" w:cs="Times New Roman"/>
          <w:kern w:val="0"/>
          <w:sz w:val="32"/>
          <w:szCs w:val="32"/>
          <w:shd w:val="clear" w:color="auto" w:fill="FFFFFF"/>
          <w:lang w:val="en-US" w:eastAsia="zh-CN" w:bidi="ar"/>
        </w:rPr>
        <w:t>各牵头部门要切实发挥牵头抓总作用，抓好工作统筹、任务协同，分项目出台实施具体方案，优化推进暖民心行动的务实举措，尽力而为，贴近群众需要，探索建立一批“十全”暖心社区，推动民生实事、小事早行动、早见效、早满意。</w:t>
      </w:r>
    </w:p>
    <w:p w14:paraId="6B085C79">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楷体_GBK" w:cs="Times New Roman"/>
          <w:snapToGrid/>
          <w:color w:val="000000"/>
          <w:kern w:val="2"/>
          <w:sz w:val="32"/>
          <w:szCs w:val="32"/>
          <w:lang w:val="en-US" w:eastAsia="zh-CN" w:bidi="ar-SA"/>
        </w:rPr>
        <w:t>（三）强化宣传引导。</w:t>
      </w:r>
      <w:r>
        <w:rPr>
          <w:rFonts w:hint="default" w:ascii="Times New Roman" w:hAnsi="Times New Roman" w:eastAsia="方正仿宋_GBK" w:cs="Times New Roman"/>
          <w:snapToGrid/>
          <w:kern w:val="0"/>
          <w:sz w:val="32"/>
          <w:szCs w:val="32"/>
          <w:shd w:val="clear" w:color="auto" w:fill="FFFFFF"/>
          <w:lang w:val="en-US" w:eastAsia="zh-CN" w:bidi="ar"/>
        </w:rPr>
        <w:t>宣传部门要加大对暖民心行动的宣传力度，综合利用传统媒体和新媒体多种平台，用群众通俗易懂的语言、喜闻乐见的方式，宣传暖民心政策措施，引导全社会关心行动、支持行动、监督行动，真正让群众看到变化、见到成效、得到实惠。</w:t>
      </w:r>
    </w:p>
    <w:p w14:paraId="3FD5BFED">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eastAsia" w:ascii="Times New Roman" w:hAnsi="Times New Roman" w:eastAsia="方正楷体_GBK" w:cs="Times New Roman"/>
          <w:snapToGrid/>
          <w:color w:val="000000"/>
          <w:kern w:val="2"/>
          <w:sz w:val="32"/>
          <w:szCs w:val="32"/>
          <w:lang w:val="en-US" w:eastAsia="zh-CN" w:bidi="ar-SA"/>
        </w:rPr>
        <w:t>（四）</w:t>
      </w:r>
      <w:r>
        <w:rPr>
          <w:rFonts w:hint="default" w:ascii="Times New Roman" w:hAnsi="Times New Roman" w:eastAsia="方正楷体_GBK" w:cs="Times New Roman"/>
          <w:snapToGrid/>
          <w:color w:val="000000"/>
          <w:kern w:val="2"/>
          <w:sz w:val="32"/>
          <w:szCs w:val="32"/>
          <w:lang w:val="en-US" w:eastAsia="zh-CN" w:bidi="ar-SA"/>
        </w:rPr>
        <w:t>强化督导考核。</w:t>
      </w:r>
      <w:r>
        <w:rPr>
          <w:rFonts w:hint="default" w:ascii="Times New Roman" w:hAnsi="Times New Roman" w:eastAsia="方正仿宋_GBK" w:cs="Times New Roman"/>
          <w:snapToGrid/>
          <w:kern w:val="2"/>
          <w:sz w:val="32"/>
          <w:szCs w:val="32"/>
          <w:shd w:val="clear" w:color="auto" w:fill="FFFFFF"/>
          <w:lang w:val="en-US" w:eastAsia="zh-CN" w:bidi="ar-SA"/>
        </w:rPr>
        <w:t>建立调度推进机制，</w:t>
      </w:r>
      <w:r>
        <w:rPr>
          <w:rFonts w:hint="default" w:ascii="Times New Roman" w:hAnsi="Times New Roman" w:eastAsia="方正仿宋_GBK" w:cs="Times New Roman"/>
          <w:snapToGrid/>
          <w:kern w:val="0"/>
          <w:sz w:val="32"/>
          <w:szCs w:val="32"/>
          <w:shd w:val="clear" w:color="auto" w:fill="FFFFFF"/>
          <w:lang w:val="en-US" w:eastAsia="zh-CN" w:bidi="ar"/>
        </w:rPr>
        <w:t>定期开展督导督办，做好调度协调、限时督办、考核评估等工作。加强清单化、闭环式管理，明确任务，分到条块，完善以人民群众满意度为导向的考核评价体系，做到民有所呼、我有所应，确保暖民心行动有序实施、如期完成。</w:t>
      </w:r>
    </w:p>
    <w:p w14:paraId="0DA330BD">
      <w:pPr>
        <w:keepNext w:val="0"/>
        <w:keepLines w:val="0"/>
        <w:pageBreakBefore w:val="0"/>
        <w:widowControl/>
        <w:shd w:val="clear" w:color="auto"/>
        <w:kinsoku/>
        <w:overflowPunct/>
        <w:topLinePunct w:val="0"/>
        <w:autoSpaceDE/>
        <w:autoSpaceDN/>
        <w:bidi w:val="0"/>
        <w:spacing w:before="0" w:beforeAutospacing="0" w:after="0" w:afterAutospacing="0" w:line="590" w:lineRule="exact"/>
        <w:ind w:left="0" w:right="0"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bidi="ar"/>
        </w:rPr>
      </w:pPr>
    </w:p>
    <w:p w14:paraId="70E8E46B">
      <w:pPr>
        <w:keepNext w:val="0"/>
        <w:keepLines w:val="0"/>
        <w:pageBreakBefore w:val="0"/>
        <w:widowControl/>
        <w:shd w:val="clear" w:color="auto"/>
        <w:kinsoku/>
        <w:overflowPunct/>
        <w:topLinePunct w:val="0"/>
        <w:autoSpaceDE/>
        <w:autoSpaceDN/>
        <w:bidi w:val="0"/>
        <w:spacing w:before="0" w:beforeAutospacing="0" w:after="0" w:afterAutospacing="0" w:line="590" w:lineRule="exact"/>
        <w:ind w:left="0" w:right="0" w:firstLine="640" w:firstLineChars="200"/>
        <w:jc w:val="left"/>
        <w:textAlignment w:val="auto"/>
        <w:rPr>
          <w:rFonts w:hint="default" w:ascii="Times New Roman" w:hAnsi="Times New Roman" w:eastAsia="方正仿宋_GBK" w:cs="Times New Roman"/>
          <w:kern w:val="0"/>
          <w:sz w:val="32"/>
          <w:szCs w:val="32"/>
          <w:shd w:val="clear" w:color="auto" w:fill="FFFFFF"/>
          <w:lang w:val="en-US" w:eastAsia="zh-CN" w:bidi="ar"/>
        </w:rPr>
      </w:pPr>
      <w:r>
        <w:rPr>
          <w:rFonts w:hint="default" w:ascii="Times New Roman" w:hAnsi="Times New Roman" w:eastAsia="方正仿宋_GBK" w:cs="Times New Roman"/>
          <w:kern w:val="0"/>
          <w:sz w:val="32"/>
          <w:szCs w:val="32"/>
          <w:shd w:val="clear" w:color="auto" w:fill="FFFFFF"/>
          <w:lang w:val="en-US" w:eastAsia="zh-CN" w:bidi="ar"/>
        </w:rPr>
        <w:t>附件：1.龙子湖区“10项暖民心行动”领导小组名单</w:t>
      </w:r>
    </w:p>
    <w:p w14:paraId="265C3468">
      <w:pPr>
        <w:keepNext w:val="0"/>
        <w:keepLines w:val="0"/>
        <w:pageBreakBefore w:val="0"/>
        <w:widowControl/>
        <w:shd w:val="clear"/>
        <w:kinsoku/>
        <w:wordWrap w:val="0"/>
        <w:overflowPunct/>
        <w:topLinePunct w:val="0"/>
        <w:autoSpaceDE/>
        <w:autoSpaceDN/>
        <w:bidi w:val="0"/>
        <w:adjustRightInd/>
        <w:snapToGrid/>
        <w:spacing w:line="590" w:lineRule="exact"/>
        <w:ind w:firstLine="1600" w:firstLineChars="5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2.龙子湖区</w:t>
      </w:r>
      <w:r>
        <w:rPr>
          <w:rFonts w:hint="default" w:ascii="Times New Roman" w:hAnsi="Times New Roman" w:eastAsia="方正仿宋_GBK" w:cs="Times New Roman"/>
          <w:snapToGrid/>
          <w:kern w:val="2"/>
          <w:sz w:val="32"/>
          <w:szCs w:val="32"/>
          <w:shd w:val="clear" w:color="auto" w:fill="FFFFFF"/>
          <w:lang w:val="en-US" w:eastAsia="zh-CN" w:bidi="ar-SA"/>
        </w:rPr>
        <w:t>就业促进行动方案</w:t>
      </w:r>
    </w:p>
    <w:p w14:paraId="123C5D13">
      <w:pPr>
        <w:keepNext w:val="0"/>
        <w:keepLines w:val="0"/>
        <w:pageBreakBefore w:val="0"/>
        <w:widowControl/>
        <w:shd w:val="clear"/>
        <w:kinsoku/>
        <w:wordWrap w:val="0"/>
        <w:overflowPunct/>
        <w:topLinePunct w:val="0"/>
        <w:autoSpaceDE/>
        <w:autoSpaceDN/>
        <w:bidi w:val="0"/>
        <w:adjustRightInd/>
        <w:snapToGrid/>
        <w:spacing w:line="590" w:lineRule="exact"/>
        <w:ind w:firstLine="1600" w:firstLineChars="5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3.龙子湖区</w:t>
      </w:r>
      <w:r>
        <w:rPr>
          <w:rFonts w:hint="default" w:ascii="Times New Roman" w:hAnsi="Times New Roman" w:eastAsia="方正仿宋_GBK" w:cs="Times New Roman"/>
          <w:snapToGrid/>
          <w:kern w:val="2"/>
          <w:sz w:val="32"/>
          <w:szCs w:val="32"/>
          <w:shd w:val="clear" w:color="auto" w:fill="FFFFFF"/>
          <w:lang w:val="en-US" w:eastAsia="zh-CN" w:bidi="ar-SA"/>
        </w:rPr>
        <w:t>“新徽菜·名徽厨”行动方案</w:t>
      </w:r>
    </w:p>
    <w:p w14:paraId="1DBDD2D7">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 xml:space="preserve">      4.龙子湖区</w:t>
      </w:r>
      <w:r>
        <w:rPr>
          <w:rFonts w:hint="default" w:ascii="Times New Roman" w:hAnsi="Times New Roman" w:eastAsia="方正仿宋_GBK" w:cs="Times New Roman"/>
          <w:snapToGrid/>
          <w:kern w:val="2"/>
          <w:sz w:val="32"/>
          <w:szCs w:val="32"/>
          <w:shd w:val="clear" w:color="auto" w:fill="FFFFFF"/>
          <w:lang w:val="en-US" w:eastAsia="zh-CN" w:bidi="ar-SA"/>
        </w:rPr>
        <w:t>老年助餐行动方案</w:t>
      </w:r>
    </w:p>
    <w:p w14:paraId="64E62A64">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 xml:space="preserve">      5.龙子湖区</w:t>
      </w:r>
      <w:r>
        <w:rPr>
          <w:rFonts w:hint="default" w:ascii="Times New Roman" w:hAnsi="Times New Roman" w:eastAsia="方正仿宋_GBK" w:cs="Times New Roman"/>
          <w:snapToGrid/>
          <w:kern w:val="2"/>
          <w:sz w:val="32"/>
          <w:szCs w:val="32"/>
          <w:shd w:val="clear" w:color="auto" w:fill="FFFFFF"/>
          <w:lang w:val="en-US" w:eastAsia="zh-CN" w:bidi="ar-SA"/>
        </w:rPr>
        <w:t>健康口腔行动方案</w:t>
      </w:r>
    </w:p>
    <w:p w14:paraId="21E145D5">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 xml:space="preserve">      6.龙子湖区</w:t>
      </w:r>
      <w:r>
        <w:rPr>
          <w:rFonts w:hint="default" w:ascii="Times New Roman" w:hAnsi="Times New Roman" w:eastAsia="方正仿宋_GBK" w:cs="Times New Roman"/>
          <w:snapToGrid/>
          <w:kern w:val="2"/>
          <w:sz w:val="32"/>
          <w:szCs w:val="32"/>
          <w:shd w:val="clear" w:color="auto" w:fill="FFFFFF"/>
          <w:lang w:val="en-US" w:eastAsia="zh-CN" w:bidi="ar-SA"/>
        </w:rPr>
        <w:t>安心托幼（托育）行动方案</w:t>
      </w:r>
    </w:p>
    <w:p w14:paraId="1E3DA6AF">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 xml:space="preserve">      7.龙子湖区</w:t>
      </w:r>
      <w:r>
        <w:rPr>
          <w:rFonts w:hint="default" w:ascii="Times New Roman" w:hAnsi="Times New Roman" w:eastAsia="方正仿宋_GBK" w:cs="Times New Roman"/>
          <w:snapToGrid/>
          <w:kern w:val="2"/>
          <w:sz w:val="32"/>
          <w:szCs w:val="32"/>
          <w:shd w:val="clear" w:color="auto" w:fill="FFFFFF"/>
          <w:lang w:val="en-US" w:eastAsia="zh-CN" w:bidi="ar-SA"/>
        </w:rPr>
        <w:t>安心托幼（托幼）行动方案</w:t>
      </w:r>
    </w:p>
    <w:p w14:paraId="328DFC13">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 xml:space="preserve">      8.龙子湖区</w:t>
      </w:r>
      <w:r>
        <w:rPr>
          <w:rFonts w:hint="default" w:ascii="Times New Roman" w:hAnsi="Times New Roman" w:eastAsia="方正仿宋_GBK" w:cs="Times New Roman"/>
          <w:snapToGrid/>
          <w:kern w:val="2"/>
          <w:sz w:val="32"/>
          <w:szCs w:val="32"/>
          <w:shd w:val="clear" w:color="auto" w:fill="FFFFFF"/>
          <w:lang w:val="en-US" w:eastAsia="zh-CN" w:bidi="ar-SA"/>
        </w:rPr>
        <w:t>快乐健身行动方案</w:t>
      </w:r>
    </w:p>
    <w:p w14:paraId="6334C187">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 xml:space="preserve">      9.龙子湖区便民</w:t>
      </w:r>
      <w:r>
        <w:rPr>
          <w:rFonts w:hint="default" w:ascii="Times New Roman" w:hAnsi="Times New Roman" w:eastAsia="方正仿宋_GBK" w:cs="Times New Roman"/>
          <w:snapToGrid/>
          <w:kern w:val="2"/>
          <w:sz w:val="32"/>
          <w:szCs w:val="32"/>
          <w:shd w:val="clear" w:color="auto" w:fill="FFFFFF"/>
          <w:lang w:val="en-US" w:eastAsia="zh-CN" w:bidi="ar-SA"/>
        </w:rPr>
        <w:t>停车行动方案</w:t>
      </w:r>
    </w:p>
    <w:p w14:paraId="4428009F">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 xml:space="preserve">      10.龙子湖区</w:t>
      </w:r>
      <w:r>
        <w:rPr>
          <w:rFonts w:hint="default" w:ascii="Times New Roman" w:hAnsi="Times New Roman" w:eastAsia="方正仿宋_GBK" w:cs="Times New Roman"/>
          <w:snapToGrid/>
          <w:kern w:val="2"/>
          <w:sz w:val="32"/>
          <w:szCs w:val="32"/>
          <w:shd w:val="clear" w:color="auto" w:fill="FFFFFF"/>
          <w:lang w:val="en-US" w:eastAsia="zh-CN" w:bidi="ar-SA"/>
        </w:rPr>
        <w:t>放心家政行动方案</w:t>
      </w:r>
    </w:p>
    <w:p w14:paraId="618385EE">
      <w:pPr>
        <w:keepNext w:val="0"/>
        <w:keepLines w:val="0"/>
        <w:pageBreakBefore w:val="0"/>
        <w:widowControl/>
        <w:shd w:val="clear"/>
        <w:kinsoku/>
        <w:wordWrap w:val="0"/>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0"/>
          <w:sz w:val="32"/>
          <w:szCs w:val="32"/>
          <w:shd w:val="clear" w:color="auto" w:fill="FFFFFF"/>
          <w:lang w:val="en-US" w:eastAsia="zh-CN" w:bidi="ar"/>
        </w:rPr>
      </w:pPr>
      <w:r>
        <w:rPr>
          <w:rFonts w:hint="default" w:ascii="Times New Roman" w:hAnsi="Times New Roman" w:eastAsia="方正仿宋_GBK" w:cs="Times New Roman"/>
          <w:snapToGrid/>
          <w:kern w:val="0"/>
          <w:sz w:val="32"/>
          <w:szCs w:val="32"/>
          <w:shd w:val="clear" w:color="auto" w:fill="FFFFFF"/>
          <w:lang w:val="en-US" w:eastAsia="zh-CN" w:bidi="ar"/>
        </w:rPr>
        <w:t xml:space="preserve">      11.龙子湖区</w:t>
      </w:r>
      <w:r>
        <w:rPr>
          <w:rFonts w:hint="default" w:ascii="Times New Roman" w:hAnsi="Times New Roman" w:eastAsia="方正仿宋_GBK" w:cs="Times New Roman"/>
          <w:snapToGrid/>
          <w:kern w:val="2"/>
          <w:sz w:val="32"/>
          <w:szCs w:val="32"/>
          <w:shd w:val="clear" w:color="auto" w:fill="FFFFFF"/>
          <w:lang w:val="en-US" w:eastAsia="zh-CN" w:bidi="ar-SA"/>
        </w:rPr>
        <w:t>文明菜市行动方案</w:t>
      </w:r>
    </w:p>
    <w:p w14:paraId="54BA8B8B">
      <w:pPr>
        <w:keepNext w:val="0"/>
        <w:keepLines w:val="0"/>
        <w:pageBreakBefore w:val="0"/>
        <w:widowControl/>
        <w:shd w:val="clear"/>
        <w:kinsoku/>
        <w:wordWrap w:val="0"/>
        <w:overflowPunct/>
        <w:topLinePunct w:val="0"/>
        <w:autoSpaceDE/>
        <w:autoSpaceDN/>
        <w:bidi w:val="0"/>
        <w:adjustRightInd/>
        <w:snapToGrid/>
        <w:spacing w:line="590" w:lineRule="exact"/>
        <w:ind w:firstLine="1600" w:firstLineChars="5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0"/>
          <w:sz w:val="32"/>
          <w:szCs w:val="32"/>
          <w:shd w:val="clear" w:color="auto" w:fill="FFFFFF"/>
          <w:lang w:val="en-US" w:eastAsia="zh-CN" w:bidi="ar"/>
        </w:rPr>
        <w:t>12.龙子湖区</w:t>
      </w:r>
      <w:r>
        <w:rPr>
          <w:rFonts w:hint="default" w:ascii="Times New Roman" w:hAnsi="Times New Roman" w:eastAsia="方正仿宋_GBK" w:cs="Times New Roman"/>
          <w:snapToGrid/>
          <w:kern w:val="2"/>
          <w:sz w:val="32"/>
          <w:szCs w:val="32"/>
          <w:shd w:val="clear" w:color="auto" w:fill="FFFFFF"/>
          <w:lang w:val="en-US" w:eastAsia="zh-CN" w:bidi="ar-SA"/>
        </w:rPr>
        <w:t>老有所学行动方案</w:t>
      </w:r>
    </w:p>
    <w:p w14:paraId="793928BA">
      <w:pPr>
        <w:keepNext w:val="0"/>
        <w:keepLines w:val="0"/>
        <w:pageBreakBefore w:val="0"/>
        <w:widowControl/>
        <w:shd w:val="clear"/>
        <w:kinsoku/>
        <w:wordWrap w:val="0"/>
        <w:overflowPunct/>
        <w:topLinePunct w:val="0"/>
        <w:autoSpaceDE/>
        <w:autoSpaceDN/>
        <w:bidi w:val="0"/>
        <w:adjustRightInd/>
        <w:snapToGrid/>
        <w:spacing w:line="590" w:lineRule="exact"/>
        <w:ind w:firstLine="1600" w:firstLineChars="5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p>
    <w:p w14:paraId="58ADD5FA">
      <w:pPr>
        <w:keepNext w:val="0"/>
        <w:keepLines w:val="0"/>
        <w:pageBreakBefore w:val="0"/>
        <w:widowControl w:val="0"/>
        <w:shd w:val="clear"/>
        <w:kinsoku/>
        <w:wordWrap w:val="0"/>
        <w:overflowPunct/>
        <w:topLinePunct w:val="0"/>
        <w:autoSpaceDE/>
        <w:autoSpaceDN/>
        <w:bidi w:val="0"/>
        <w:adjustRightInd/>
        <w:snapToGrid/>
        <w:spacing w:beforeAutospacing="0" w:afterAutospacing="0" w:line="590" w:lineRule="exact"/>
        <w:ind w:left="0" w:leftChars="0" w:right="420" w:rightChars="200" w:firstLine="640" w:firstLineChars="200"/>
        <w:jc w:val="right"/>
        <w:textAlignment w:val="auto"/>
        <w:rPr>
          <w:rFonts w:hint="default" w:ascii="Times New Roman" w:hAnsi="Times New Roman" w:eastAsia="方正仿宋_GBK" w:cs="Times New Roman"/>
          <w:snapToGrid/>
          <w:kern w:val="0"/>
          <w:sz w:val="32"/>
          <w:szCs w:val="32"/>
          <w:shd w:val="clear" w:color="auto" w:fill="FFFFFF"/>
          <w:lang w:val="en-US" w:eastAsia="zh-CN" w:bidi="ar-SA"/>
        </w:rPr>
      </w:pPr>
      <w:r>
        <w:rPr>
          <w:rFonts w:hint="default" w:ascii="Times New Roman" w:hAnsi="Times New Roman" w:eastAsia="方正仿宋_GBK" w:cs="Times New Roman"/>
          <w:snapToGrid/>
          <w:kern w:val="0"/>
          <w:sz w:val="32"/>
          <w:szCs w:val="32"/>
          <w:shd w:val="clear" w:color="auto" w:fill="FFFFFF"/>
          <w:lang w:val="en-US" w:eastAsia="zh-CN" w:bidi="ar-SA"/>
        </w:rPr>
        <w:t xml:space="preserve">中共蚌埠市龙子湖区委办公室 </w:t>
      </w:r>
      <w:r>
        <w:rPr>
          <w:rFonts w:hint="eastAsia" w:ascii="Times New Roman" w:hAnsi="Times New Roman" w:eastAsia="方正仿宋_GBK" w:cs="Times New Roman"/>
          <w:snapToGrid/>
          <w:kern w:val="0"/>
          <w:sz w:val="32"/>
          <w:szCs w:val="32"/>
          <w:shd w:val="clear" w:color="auto" w:fill="FFFFFF"/>
          <w:lang w:val="en-US" w:eastAsia="zh-CN" w:bidi="ar-SA"/>
        </w:rPr>
        <w:t xml:space="preserve"> </w:t>
      </w:r>
    </w:p>
    <w:p w14:paraId="7B1A28F7">
      <w:pPr>
        <w:keepNext w:val="0"/>
        <w:keepLines w:val="0"/>
        <w:pageBreakBefore w:val="0"/>
        <w:widowControl w:val="0"/>
        <w:shd w:val="clear"/>
        <w:kinsoku/>
        <w:wordWrap w:val="0"/>
        <w:overflowPunct/>
        <w:topLinePunct w:val="0"/>
        <w:autoSpaceDE/>
        <w:autoSpaceDN/>
        <w:bidi w:val="0"/>
        <w:adjustRightInd/>
        <w:snapToGrid/>
        <w:spacing w:beforeAutospacing="0" w:afterAutospacing="0" w:line="590" w:lineRule="exact"/>
        <w:ind w:left="0" w:leftChars="0" w:right="420" w:rightChars="200" w:firstLine="640" w:firstLineChars="200"/>
        <w:jc w:val="right"/>
        <w:textAlignment w:val="auto"/>
        <w:rPr>
          <w:rFonts w:hint="default" w:ascii="Times New Roman" w:hAnsi="Times New Roman" w:eastAsia="方正仿宋_GBK" w:cs="Times New Roman"/>
          <w:snapToGrid/>
          <w:kern w:val="0"/>
          <w:sz w:val="32"/>
          <w:szCs w:val="32"/>
          <w:shd w:val="clear" w:color="auto" w:fill="FFFFFF"/>
          <w:lang w:val="en-US" w:eastAsia="zh-CN" w:bidi="ar-SA"/>
        </w:rPr>
      </w:pPr>
      <w:r>
        <w:rPr>
          <w:rFonts w:hint="default" w:ascii="Times New Roman" w:hAnsi="Times New Roman" w:eastAsia="方正仿宋_GBK" w:cs="Times New Roman"/>
          <w:snapToGrid/>
          <w:kern w:val="0"/>
          <w:sz w:val="32"/>
          <w:szCs w:val="32"/>
          <w:shd w:val="clear" w:color="auto" w:fill="FFFFFF"/>
          <w:lang w:val="en-US" w:eastAsia="zh-CN" w:bidi="ar-SA"/>
        </w:rPr>
        <w:t xml:space="preserve"> 蚌埠市龙子湖区人民政府办公室</w:t>
      </w:r>
      <w:r>
        <w:rPr>
          <w:rFonts w:hint="eastAsia" w:ascii="Times New Roman" w:hAnsi="Times New Roman" w:eastAsia="方正仿宋_GBK" w:cs="Times New Roman"/>
          <w:snapToGrid/>
          <w:kern w:val="0"/>
          <w:sz w:val="32"/>
          <w:szCs w:val="32"/>
          <w:shd w:val="clear" w:color="auto" w:fill="FFFFFF"/>
          <w:lang w:val="en-US" w:eastAsia="zh-CN" w:bidi="ar-SA"/>
        </w:rPr>
        <w:t xml:space="preserve"> </w:t>
      </w:r>
    </w:p>
    <w:p w14:paraId="7A555C7D">
      <w:pPr>
        <w:keepNext w:val="0"/>
        <w:keepLines w:val="0"/>
        <w:pageBreakBefore w:val="0"/>
        <w:widowControl/>
        <w:kinsoku/>
        <w:wordWrap/>
        <w:overflowPunct/>
        <w:topLinePunct w:val="0"/>
        <w:autoSpaceDE w:val="0"/>
        <w:autoSpaceDN w:val="0"/>
        <w:bidi w:val="0"/>
        <w:adjustRightInd w:val="0"/>
        <w:snapToGrid w:val="0"/>
        <w:spacing w:line="590" w:lineRule="exact"/>
        <w:ind w:right="1743" w:rightChars="830" w:firstLine="0" w:firstLineChars="0"/>
        <w:jc w:val="right"/>
        <w:textAlignment w:val="baseline"/>
        <w:rPr>
          <w:rFonts w:hint="eastAsia" w:ascii="Times New Roman" w:hAnsi="Times New Roman" w:eastAsia="方正仿宋_GBK" w:cs="Times New Roman"/>
          <w:snapToGrid/>
          <w:kern w:val="0"/>
          <w:sz w:val="32"/>
          <w:szCs w:val="32"/>
          <w:shd w:val="clear" w:color="auto" w:fill="FFFFFF"/>
          <w:lang w:val="en-US" w:eastAsia="zh-CN" w:bidi="ar-SA"/>
        </w:rPr>
      </w:pPr>
      <w:r>
        <w:rPr>
          <w:rFonts w:hint="default" w:ascii="Times New Roman" w:hAnsi="Times New Roman" w:eastAsia="方正仿宋_GBK" w:cs="Times New Roman"/>
          <w:snapToGrid/>
          <w:kern w:val="0"/>
          <w:sz w:val="32"/>
          <w:szCs w:val="32"/>
          <w:shd w:val="clear" w:color="auto" w:fill="FFFFFF"/>
          <w:lang w:val="en-US" w:eastAsia="zh-CN" w:bidi="ar-SA"/>
        </w:rPr>
        <w:t>2022年7月15日</w:t>
      </w:r>
      <w:r>
        <w:rPr>
          <w:rFonts w:hint="eastAsia" w:ascii="Times New Roman" w:hAnsi="Times New Roman" w:eastAsia="方正仿宋_GBK" w:cs="Times New Roman"/>
          <w:snapToGrid/>
          <w:kern w:val="0"/>
          <w:sz w:val="32"/>
          <w:szCs w:val="32"/>
          <w:shd w:val="clear" w:color="auto" w:fill="FFFFFF"/>
          <w:lang w:val="en-US" w:eastAsia="zh-CN" w:bidi="ar-SA"/>
        </w:rPr>
        <w:t xml:space="preserve">       </w:t>
      </w:r>
    </w:p>
    <w:p w14:paraId="56F4D8BB">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right"/>
        <w:textAlignment w:val="baseline"/>
        <w:rPr>
          <w:rFonts w:hint="default" w:ascii="Times New Roman" w:hAnsi="Times New Roman" w:eastAsia="方正仿宋_GBK" w:cs="Times New Roman"/>
          <w:b/>
          <w:bCs/>
          <w:snapToGrid/>
          <w:kern w:val="0"/>
          <w:sz w:val="32"/>
          <w:szCs w:val="32"/>
          <w:shd w:val="clear" w:color="auto" w:fill="FFFFFF"/>
          <w:lang w:val="en-US" w:eastAsia="zh-CN" w:bidi="ar-SA"/>
        </w:rPr>
        <w:sectPr>
          <w:headerReference r:id="rId5" w:type="default"/>
          <w:footerReference r:id="rId6" w:type="default"/>
          <w:pgSz w:w="11906" w:h="16838"/>
          <w:pgMar w:top="1962" w:right="1474" w:bottom="1848" w:left="1587" w:header="851" w:footer="992" w:gutter="0"/>
          <w:pgNumType w:fmt="numberInDash"/>
          <w:cols w:space="0" w:num="1"/>
          <w:rtlGutter w:val="0"/>
          <w:docGrid w:type="lines" w:linePitch="312" w:charSpace="0"/>
        </w:sectPr>
      </w:pPr>
    </w:p>
    <w:p w14:paraId="1CF4B700">
      <w:pPr>
        <w:widowControl/>
        <w:shd w:val="clear" w:color="auto"/>
        <w:spacing w:before="0" w:beforeAutospacing="0" w:after="0" w:afterAutospacing="0" w:line="560" w:lineRule="exact"/>
        <w:ind w:left="0" w:right="0"/>
        <w:jc w:val="left"/>
        <w:rPr>
          <w:rFonts w:hint="default" w:ascii="Times New Roman" w:hAnsi="Times New Roman" w:eastAsia="方正黑体_GBK" w:cs="Times New Roman"/>
          <w:kern w:val="0"/>
          <w:sz w:val="32"/>
          <w:szCs w:val="32"/>
          <w:shd w:val="clear" w:color="auto" w:fill="FFFFFF"/>
          <w:lang w:val="en-US" w:eastAsia="zh-CN" w:bidi="ar"/>
        </w:rPr>
      </w:pPr>
      <w:r>
        <w:rPr>
          <w:rFonts w:hint="default" w:ascii="Times New Roman" w:hAnsi="Times New Roman" w:eastAsia="方正黑体_GBK" w:cs="Times New Roman"/>
          <w:kern w:val="0"/>
          <w:sz w:val="32"/>
          <w:szCs w:val="32"/>
          <w:shd w:val="clear" w:color="auto" w:fill="FFFFFF"/>
          <w:lang w:val="en-US" w:eastAsia="zh-CN" w:bidi="ar"/>
        </w:rPr>
        <w:t>附件1</w:t>
      </w:r>
    </w:p>
    <w:p w14:paraId="79EA22BE">
      <w:pPr>
        <w:widowControl/>
        <w:shd w:val="clear" w:color="auto"/>
        <w:spacing w:before="0" w:beforeAutospacing="0" w:after="0" w:afterAutospacing="0" w:line="560" w:lineRule="exact"/>
        <w:ind w:left="0" w:right="0"/>
        <w:jc w:val="left"/>
        <w:rPr>
          <w:rFonts w:hint="default" w:ascii="Times New Roman" w:hAnsi="Times New Roman" w:eastAsia="仿宋_GB2312" w:cs="Times New Roman"/>
          <w:kern w:val="0"/>
          <w:sz w:val="32"/>
          <w:szCs w:val="32"/>
          <w:shd w:val="clear" w:color="auto" w:fill="FFFFFF"/>
          <w:lang w:val="en-US" w:eastAsia="zh-CN" w:bidi="ar"/>
        </w:rPr>
      </w:pPr>
    </w:p>
    <w:p w14:paraId="0AE32136">
      <w:pPr>
        <w:widowControl/>
        <w:shd w:val="clear" w:color="auto"/>
        <w:spacing w:before="0" w:beforeAutospacing="0" w:after="0" w:afterAutospacing="0" w:line="560" w:lineRule="exact"/>
        <w:ind w:left="0" w:right="0"/>
        <w:jc w:val="center"/>
        <w:rPr>
          <w:rFonts w:hint="default" w:ascii="Times New Roman" w:hAnsi="Times New Roman" w:eastAsia="方正小标宋_GBK" w:cs="Times New Roman"/>
          <w:kern w:val="0"/>
          <w:sz w:val="44"/>
          <w:szCs w:val="44"/>
          <w:shd w:val="clear" w:color="auto" w:fill="FFFFFF"/>
          <w:lang w:val="en-US" w:eastAsia="zh-CN" w:bidi="ar"/>
        </w:rPr>
      </w:pPr>
      <w:r>
        <w:rPr>
          <w:rFonts w:hint="default" w:ascii="Times New Roman" w:hAnsi="Times New Roman" w:eastAsia="方正小标宋_GBK" w:cs="Times New Roman"/>
          <w:kern w:val="0"/>
          <w:sz w:val="44"/>
          <w:szCs w:val="44"/>
          <w:shd w:val="clear" w:color="auto" w:fill="FFFFFF"/>
          <w:lang w:val="en-US" w:eastAsia="zh-CN" w:bidi="ar"/>
        </w:rPr>
        <w:t>龙子湖区“10项暖民心行动”领导小组名单</w:t>
      </w:r>
    </w:p>
    <w:p w14:paraId="796CAF4C">
      <w:pPr>
        <w:widowControl/>
        <w:shd w:val="clear"/>
        <w:kinsoku/>
        <w:wordWrap w:val="0"/>
        <w:autoSpaceDE/>
        <w:autoSpaceDN/>
        <w:adjustRightInd/>
        <w:snapToGrid/>
        <w:spacing w:line="560" w:lineRule="exact"/>
        <w:ind w:firstLine="640"/>
        <w:jc w:val="both"/>
        <w:textAlignment w:val="auto"/>
        <w:rPr>
          <w:rFonts w:hint="default" w:ascii="Times New Roman" w:hAnsi="Times New Roman" w:eastAsia="仿宋_GB2312" w:cs="Times New Roman"/>
          <w:snapToGrid/>
          <w:kern w:val="2"/>
          <w:sz w:val="32"/>
          <w:szCs w:val="32"/>
          <w:shd w:val="clear" w:color="auto" w:fill="FFFFFF"/>
          <w:lang w:val="en-US" w:eastAsia="zh-CN" w:bidi="ar-SA"/>
        </w:rPr>
      </w:pPr>
    </w:p>
    <w:p w14:paraId="0E76449D">
      <w:pPr>
        <w:keepNext w:val="0"/>
        <w:keepLines w:val="0"/>
        <w:pageBreakBefore w:val="0"/>
        <w:widowControl/>
        <w:shd w:val="clear"/>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为顺利推行“10项暖民心行动”开展，办好民生实事，成立龙子湖区“10项暖民心行动”领导小组，成员名单如下：</w:t>
      </w:r>
    </w:p>
    <w:p w14:paraId="0D3F5174">
      <w:pPr>
        <w:keepNext w:val="0"/>
        <w:keepLines w:val="0"/>
        <w:pageBreakBefore w:val="0"/>
        <w:widowControl/>
        <w:shd w:val="clear"/>
        <w:kinsoku/>
        <w:wordWrap w:val="0"/>
        <w:overflowPunct/>
        <w:topLinePunct w:val="0"/>
        <w:autoSpaceDE/>
        <w:autoSpaceDN/>
        <w:bidi w:val="0"/>
        <w:adjustRightInd/>
        <w:snapToGrid/>
        <w:spacing w:line="590" w:lineRule="exact"/>
        <w:ind w:firstLine="614" w:firstLineChars="20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组长：  倪  涛  区委书记</w:t>
      </w:r>
    </w:p>
    <w:p w14:paraId="2018DBCE">
      <w:pPr>
        <w:keepNext w:val="0"/>
        <w:keepLines w:val="0"/>
        <w:pageBreakBefore w:val="0"/>
        <w:widowControl/>
        <w:shd w:val="clear"/>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副组长：余化祥  区委副书记</w:t>
      </w:r>
    </w:p>
    <w:p w14:paraId="7E79F9A5">
      <w:pPr>
        <w:keepNext w:val="0"/>
        <w:keepLines w:val="0"/>
        <w:pageBreakBefore w:val="0"/>
        <w:widowControl/>
        <w:shd w:val="clear"/>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 xml:space="preserve">        李  青  区委常委、区政府副区长</w:t>
      </w:r>
    </w:p>
    <w:p w14:paraId="22294C00">
      <w:pPr>
        <w:keepNext w:val="0"/>
        <w:keepLines w:val="0"/>
        <w:pageBreakBefore w:val="0"/>
        <w:widowControl/>
        <w:shd w:val="clear"/>
        <w:kinsoku/>
        <w:wordWrap w:val="0"/>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蒋  纹  区政府副区长</w:t>
      </w:r>
    </w:p>
    <w:p w14:paraId="5587987A">
      <w:pPr>
        <w:keepNext w:val="0"/>
        <w:keepLines w:val="0"/>
        <w:pageBreakBefore w:val="0"/>
        <w:widowControl/>
        <w:shd w:val="clear"/>
        <w:kinsoku/>
        <w:wordWrap w:val="0"/>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张如联  区政府副区长</w:t>
      </w:r>
    </w:p>
    <w:p w14:paraId="3719CAA0">
      <w:pPr>
        <w:keepNext w:val="0"/>
        <w:keepLines w:val="0"/>
        <w:pageBreakBefore w:val="0"/>
        <w:widowControl/>
        <w:shd w:val="clear"/>
        <w:kinsoku/>
        <w:wordWrap w:val="0"/>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冯  璐  区政府副区长</w:t>
      </w:r>
    </w:p>
    <w:p w14:paraId="36228FB3">
      <w:pPr>
        <w:keepNext w:val="0"/>
        <w:keepLines w:val="0"/>
        <w:pageBreakBefore w:val="0"/>
        <w:widowControl/>
        <w:shd w:val="clear"/>
        <w:kinsoku/>
        <w:wordWrap w:val="0"/>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陈礼超  区政府副区长</w:t>
      </w:r>
    </w:p>
    <w:p w14:paraId="09B1AB22">
      <w:pPr>
        <w:keepNext w:val="0"/>
        <w:keepLines w:val="0"/>
        <w:pageBreakBefore w:val="0"/>
        <w:widowControl/>
        <w:shd w:val="clear"/>
        <w:kinsoku/>
        <w:wordWrap w:val="0"/>
        <w:overflowPunct/>
        <w:topLinePunct w:val="0"/>
        <w:autoSpaceDE/>
        <w:autoSpaceDN/>
        <w:bidi w:val="0"/>
        <w:adjustRightInd/>
        <w:snapToGrid/>
        <w:spacing w:line="590" w:lineRule="exact"/>
        <w:ind w:firstLine="1842" w:firstLineChars="600"/>
        <w:jc w:val="left"/>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王传海  区人大常委会副主任、区委办公室主任</w:t>
      </w:r>
    </w:p>
    <w:p w14:paraId="3B9FD993">
      <w:pPr>
        <w:keepNext w:val="0"/>
        <w:keepLines w:val="0"/>
        <w:pageBreakBefore w:val="0"/>
        <w:widowControl/>
        <w:kinsoku/>
        <w:wordWrap w:val="0"/>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胡  斌  区政协副主席、区教体局局长</w:t>
      </w:r>
    </w:p>
    <w:p w14:paraId="11D06EB3">
      <w:pPr>
        <w:keepNext w:val="0"/>
        <w:keepLines w:val="0"/>
        <w:pageBreakBefore w:val="0"/>
        <w:widowControl/>
        <w:kinsoku/>
        <w:wordWrap w:val="0"/>
        <w:overflowPunct/>
        <w:topLinePunct w:val="0"/>
        <w:autoSpaceDE/>
        <w:autoSpaceDN/>
        <w:bidi w:val="0"/>
        <w:adjustRightInd/>
        <w:snapToGrid/>
        <w:spacing w:line="590" w:lineRule="exact"/>
        <w:ind w:firstLine="614" w:firstLineChars="20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成员：  吴学民  区委宣传部副部长</w:t>
      </w:r>
    </w:p>
    <w:p w14:paraId="19E67304">
      <w:pPr>
        <w:keepNext w:val="0"/>
        <w:keepLines w:val="0"/>
        <w:pageBreakBefore w:val="0"/>
        <w:widowControl/>
        <w:kinsoku/>
        <w:wordWrap w:val="0"/>
        <w:overflowPunct/>
        <w:topLinePunct w:val="0"/>
        <w:autoSpaceDE/>
        <w:autoSpaceDN/>
        <w:bidi w:val="0"/>
        <w:adjustRightInd/>
        <w:snapToGrid/>
        <w:spacing w:line="590" w:lineRule="exact"/>
        <w:ind w:firstLine="614" w:firstLineChars="20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 xml:space="preserve">        李  韧  区委督查考核办公室主任</w:t>
      </w:r>
    </w:p>
    <w:p w14:paraId="508582E7">
      <w:pPr>
        <w:keepNext w:val="0"/>
        <w:keepLines w:val="0"/>
        <w:pageBreakBefore w:val="0"/>
        <w:widowControl/>
        <w:kinsoku/>
        <w:wordWrap w:val="0"/>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吴巨虎  区政府办公室主任</w:t>
      </w:r>
    </w:p>
    <w:p w14:paraId="163B837E">
      <w:pPr>
        <w:keepNext w:val="0"/>
        <w:keepLines w:val="0"/>
        <w:pageBreakBefore w:val="0"/>
        <w:widowControl/>
        <w:kinsoku/>
        <w:wordWrap w:val="0"/>
        <w:overflowPunct/>
        <w:topLinePunct w:val="0"/>
        <w:autoSpaceDE/>
        <w:autoSpaceDN/>
        <w:bidi w:val="0"/>
        <w:adjustRightInd/>
        <w:snapToGrid/>
        <w:spacing w:line="590" w:lineRule="exact"/>
        <w:ind w:firstLine="1851" w:firstLineChars="603"/>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张  磊  区发展改革委员会主任</w:t>
      </w:r>
    </w:p>
    <w:p w14:paraId="40FD24CE">
      <w:pPr>
        <w:keepNext w:val="0"/>
        <w:keepLines w:val="0"/>
        <w:pageBreakBefore w:val="0"/>
        <w:widowControl/>
        <w:kinsoku/>
        <w:wordWrap w:val="0"/>
        <w:overflowPunct/>
        <w:topLinePunct w:val="0"/>
        <w:autoSpaceDE/>
        <w:autoSpaceDN/>
        <w:bidi w:val="0"/>
        <w:adjustRightInd/>
        <w:snapToGrid/>
        <w:spacing w:line="590" w:lineRule="exact"/>
        <w:ind w:firstLine="1851" w:firstLineChars="603"/>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屈建文  区财政局局长</w:t>
      </w:r>
    </w:p>
    <w:p w14:paraId="4C425C28">
      <w:pPr>
        <w:keepNext w:val="0"/>
        <w:keepLines w:val="0"/>
        <w:pageBreakBefore w:val="0"/>
        <w:widowControl/>
        <w:kinsoku/>
        <w:wordWrap w:val="0"/>
        <w:overflowPunct/>
        <w:topLinePunct w:val="0"/>
        <w:autoSpaceDE/>
        <w:autoSpaceDN/>
        <w:bidi w:val="0"/>
        <w:adjustRightInd/>
        <w:snapToGrid/>
        <w:spacing w:line="590" w:lineRule="exact"/>
        <w:ind w:firstLine="1851" w:firstLineChars="603"/>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陈  洁  区</w:t>
      </w:r>
      <w:r>
        <w:rPr>
          <w:rFonts w:hint="eastAsia" w:ascii="Times New Roman" w:hAnsi="Times New Roman" w:eastAsia="方正仿宋_GBK" w:cs="Times New Roman"/>
          <w:snapToGrid/>
          <w:w w:val="96"/>
          <w:kern w:val="2"/>
          <w:sz w:val="32"/>
          <w:szCs w:val="32"/>
          <w:shd w:val="clear" w:color="auto" w:fill="FFFFFF"/>
          <w:lang w:val="en-US" w:eastAsia="zh-CN" w:bidi="ar-SA"/>
        </w:rPr>
        <w:t>人力资源和社会保障局</w:t>
      </w:r>
      <w:r>
        <w:rPr>
          <w:rFonts w:hint="default" w:ascii="Times New Roman" w:hAnsi="Times New Roman" w:eastAsia="方正仿宋_GBK" w:cs="Times New Roman"/>
          <w:snapToGrid/>
          <w:w w:val="96"/>
          <w:kern w:val="2"/>
          <w:sz w:val="32"/>
          <w:szCs w:val="32"/>
          <w:shd w:val="clear" w:color="auto" w:fill="FFFFFF"/>
          <w:lang w:val="en-US" w:eastAsia="zh-CN" w:bidi="ar-SA"/>
        </w:rPr>
        <w:t>局长</w:t>
      </w:r>
    </w:p>
    <w:p w14:paraId="0BBE463C">
      <w:pPr>
        <w:keepNext w:val="0"/>
        <w:keepLines w:val="0"/>
        <w:pageBreakBefore w:val="0"/>
        <w:widowControl/>
        <w:kinsoku/>
        <w:wordWrap w:val="0"/>
        <w:overflowPunct/>
        <w:topLinePunct w:val="0"/>
        <w:autoSpaceDE/>
        <w:autoSpaceDN/>
        <w:bidi w:val="0"/>
        <w:adjustRightInd/>
        <w:snapToGrid/>
        <w:spacing w:line="590" w:lineRule="exact"/>
        <w:ind w:firstLine="1851" w:firstLineChars="603"/>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毛  来  区商务外事局局长</w:t>
      </w:r>
    </w:p>
    <w:p w14:paraId="3548E395">
      <w:pPr>
        <w:keepNext w:val="0"/>
        <w:keepLines w:val="0"/>
        <w:pageBreakBefore w:val="0"/>
        <w:widowControl/>
        <w:kinsoku/>
        <w:wordWrap w:val="0"/>
        <w:overflowPunct/>
        <w:topLinePunct w:val="0"/>
        <w:autoSpaceDE/>
        <w:autoSpaceDN/>
        <w:bidi w:val="0"/>
        <w:adjustRightInd/>
        <w:snapToGrid/>
        <w:spacing w:line="590" w:lineRule="exact"/>
        <w:ind w:firstLine="1851" w:firstLineChars="603"/>
        <w:jc w:val="both"/>
        <w:textAlignment w:val="auto"/>
        <w:rPr>
          <w:rFonts w:hint="default" w:ascii="Times New Roman" w:hAnsi="Times New Roman" w:eastAsia="方正仿宋_GBK" w:cs="Times New Roman"/>
          <w:snapToGrid/>
          <w:w w:val="96"/>
          <w:kern w:val="2"/>
          <w:sz w:val="32"/>
          <w:szCs w:val="32"/>
          <w:shd w:val="clear" w:color="auto" w:fill="FFFFFF"/>
          <w:lang w:val="en-US" w:eastAsia="zh-CN" w:bidi="ar-SA"/>
        </w:rPr>
      </w:pPr>
      <w:r>
        <w:rPr>
          <w:rFonts w:hint="default" w:ascii="Times New Roman" w:hAnsi="Times New Roman" w:eastAsia="方正仿宋_GBK" w:cs="Times New Roman"/>
          <w:snapToGrid/>
          <w:w w:val="96"/>
          <w:kern w:val="2"/>
          <w:sz w:val="32"/>
          <w:szCs w:val="32"/>
          <w:shd w:val="clear" w:color="auto" w:fill="FFFFFF"/>
          <w:lang w:val="en-US" w:eastAsia="zh-CN" w:bidi="ar-SA"/>
        </w:rPr>
        <w:t>方  勇  区民政局局长</w:t>
      </w:r>
    </w:p>
    <w:p w14:paraId="24F35E00">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李  军  区城市管理局局长</w:t>
      </w:r>
    </w:p>
    <w:p w14:paraId="4C649D91">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李  萍  区卫生健康委主任</w:t>
      </w:r>
    </w:p>
    <w:p w14:paraId="7F8EAB7D">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孙宜兵  李楼乡党委书记</w:t>
      </w:r>
    </w:p>
    <w:p w14:paraId="55D99108">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 xml:space="preserve">李  磊 </w:t>
      </w:r>
      <w:r>
        <w:rPr>
          <w:rFonts w:hint="default" w:ascii="Times New Roman" w:hAnsi="Times New Roman" w:eastAsia="方正仿宋_GBK" w:cs="Times New Roman"/>
          <w:snapToGrid/>
          <w:kern w:val="2"/>
          <w:sz w:val="32"/>
          <w:szCs w:val="32"/>
          <w:lang w:val="en-US" w:eastAsia="zh-CN" w:bidi="ar-SA"/>
        </w:rPr>
        <w:t xml:space="preserve"> 李楼乡乡长</w:t>
      </w:r>
    </w:p>
    <w:p w14:paraId="558CD329">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80"/>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 xml:space="preserve">王宏军  </w:t>
      </w:r>
      <w:r>
        <w:rPr>
          <w:rFonts w:hint="default" w:ascii="Times New Roman" w:hAnsi="Times New Roman" w:eastAsia="方正仿宋_GBK" w:cs="Times New Roman"/>
          <w:snapToGrid/>
          <w:w w:val="80"/>
          <w:kern w:val="2"/>
          <w:sz w:val="32"/>
          <w:szCs w:val="32"/>
          <w:shd w:val="clear" w:color="auto" w:fill="FFFFFF"/>
          <w:lang w:val="en-US" w:eastAsia="zh-CN" w:bidi="ar-SA"/>
        </w:rPr>
        <w:t>区人大常委会副主任、</w:t>
      </w:r>
      <w:r>
        <w:rPr>
          <w:rFonts w:hint="default" w:ascii="Times New Roman" w:hAnsi="Times New Roman" w:eastAsia="方正仿宋_GBK" w:cs="Times New Roman"/>
          <w:snapToGrid/>
          <w:w w:val="80"/>
          <w:kern w:val="2"/>
          <w:sz w:val="32"/>
          <w:szCs w:val="32"/>
          <w:lang w:val="en-US" w:eastAsia="zh-CN" w:bidi="ar-SA"/>
        </w:rPr>
        <w:t>东风街道党工委书记</w:t>
      </w:r>
    </w:p>
    <w:p w14:paraId="0FB2988C">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 xml:space="preserve">傅德府  </w:t>
      </w:r>
      <w:r>
        <w:rPr>
          <w:rFonts w:hint="default" w:ascii="Times New Roman" w:hAnsi="Times New Roman" w:eastAsia="方正仿宋_GBK" w:cs="Times New Roman"/>
          <w:snapToGrid/>
          <w:kern w:val="2"/>
          <w:sz w:val="32"/>
          <w:szCs w:val="32"/>
          <w:lang w:val="en-US" w:eastAsia="zh-CN" w:bidi="ar-SA"/>
        </w:rPr>
        <w:t>东风街道办事处主任</w:t>
      </w:r>
    </w:p>
    <w:p w14:paraId="1771157E">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 xml:space="preserve">李志军  </w:t>
      </w:r>
      <w:r>
        <w:rPr>
          <w:rFonts w:hint="default" w:ascii="Times New Roman" w:hAnsi="Times New Roman" w:eastAsia="方正仿宋_GBK" w:cs="Times New Roman"/>
          <w:snapToGrid/>
          <w:kern w:val="2"/>
          <w:sz w:val="32"/>
          <w:szCs w:val="32"/>
          <w:lang w:val="en-US" w:eastAsia="zh-CN" w:bidi="ar-SA"/>
        </w:rPr>
        <w:t>东升街道党工委书记</w:t>
      </w:r>
    </w:p>
    <w:p w14:paraId="67C68537">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徐长城  东升街道党工委副书记、办事处主任</w:t>
      </w:r>
    </w:p>
    <w:p w14:paraId="7C5F32A2">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宗  杨  治淮街道党工委书记</w:t>
      </w:r>
    </w:p>
    <w:p w14:paraId="7449FE67">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陈  明</w:t>
      </w:r>
      <w:r>
        <w:rPr>
          <w:rFonts w:hint="default" w:ascii="Times New Roman" w:hAnsi="Times New Roman" w:eastAsia="方正仿宋_GBK" w:cs="Times New Roman"/>
          <w:snapToGrid/>
          <w:w w:val="96"/>
          <w:kern w:val="2"/>
          <w:sz w:val="32"/>
          <w:szCs w:val="32"/>
          <w:lang w:val="en-US" w:eastAsia="zh-CN" w:bidi="ar-SA"/>
        </w:rPr>
        <w:tab/>
      </w:r>
      <w:r>
        <w:rPr>
          <w:rFonts w:hint="default" w:ascii="Times New Roman" w:hAnsi="Times New Roman" w:eastAsia="方正仿宋_GBK" w:cs="Times New Roman"/>
          <w:snapToGrid/>
          <w:w w:val="96"/>
          <w:kern w:val="2"/>
          <w:sz w:val="32"/>
          <w:szCs w:val="32"/>
          <w:lang w:val="en-US" w:eastAsia="zh-CN" w:bidi="ar-SA"/>
        </w:rPr>
        <w:t xml:space="preserve"> 治淮街道党工委副书记、办事处主任</w:t>
      </w:r>
    </w:p>
    <w:p w14:paraId="1A53CB29">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胡术喜  解放街道党工委书记</w:t>
      </w:r>
    </w:p>
    <w:p w14:paraId="5CCB72AB">
      <w:pPr>
        <w:keepNext w:val="0"/>
        <w:keepLines w:val="0"/>
        <w:pageBreakBefore w:val="0"/>
        <w:widowControl w:val="0"/>
        <w:kinsoku/>
        <w:overflowPunct/>
        <w:topLinePunct w:val="0"/>
        <w:autoSpaceDE/>
        <w:autoSpaceDN/>
        <w:bidi w:val="0"/>
        <w:adjustRightInd/>
        <w:snapToGrid w:val="0"/>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李  宣  解放街道党工委副书记、办事处主任</w:t>
      </w:r>
    </w:p>
    <w:p w14:paraId="37D1A42D">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邵  兵  曹山街道党工委书记</w:t>
      </w:r>
    </w:p>
    <w:p w14:paraId="6D2D048E">
      <w:pPr>
        <w:keepNext w:val="0"/>
        <w:keepLines w:val="0"/>
        <w:pageBreakBefore w:val="0"/>
        <w:widowControl w:val="0"/>
        <w:kinsoku/>
        <w:overflowPunct/>
        <w:topLinePunct w:val="0"/>
        <w:autoSpaceDE/>
        <w:autoSpaceDN/>
        <w:bidi w:val="0"/>
        <w:adjustRightInd/>
        <w:snapToGrid w:val="0"/>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庞  飞  曹山街道党工委副书记、办事处主任</w:t>
      </w:r>
    </w:p>
    <w:p w14:paraId="2142B045">
      <w:pPr>
        <w:keepNext w:val="0"/>
        <w:keepLines w:val="0"/>
        <w:pageBreakBefore w:val="0"/>
        <w:widowControl w:val="0"/>
        <w:kinsoku/>
        <w:overflowPunct/>
        <w:topLinePunct w:val="0"/>
        <w:autoSpaceDE/>
        <w:autoSpaceDN/>
        <w:bidi w:val="0"/>
        <w:adjustRightInd/>
        <w:snapToGrid/>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丰俊豪  延安街道党工委书记</w:t>
      </w:r>
    </w:p>
    <w:p w14:paraId="4EA33E93">
      <w:pPr>
        <w:keepNext w:val="0"/>
        <w:keepLines w:val="0"/>
        <w:pageBreakBefore w:val="0"/>
        <w:widowControl w:val="0"/>
        <w:kinsoku/>
        <w:overflowPunct/>
        <w:topLinePunct w:val="0"/>
        <w:autoSpaceDE/>
        <w:autoSpaceDN/>
        <w:bidi w:val="0"/>
        <w:adjustRightInd/>
        <w:snapToGrid w:val="0"/>
        <w:spacing w:line="590" w:lineRule="exact"/>
        <w:ind w:firstLine="1842" w:firstLineChars="600"/>
        <w:jc w:val="both"/>
        <w:textAlignment w:val="auto"/>
        <w:rPr>
          <w:rFonts w:hint="default" w:ascii="Times New Roman" w:hAnsi="Times New Roman" w:eastAsia="方正仿宋_GBK" w:cs="Times New Roman"/>
          <w:snapToGrid/>
          <w:w w:val="96"/>
          <w:kern w:val="2"/>
          <w:sz w:val="32"/>
          <w:szCs w:val="32"/>
          <w:lang w:val="en-US" w:eastAsia="zh-CN" w:bidi="ar-SA"/>
        </w:rPr>
      </w:pPr>
      <w:r>
        <w:rPr>
          <w:rFonts w:hint="default" w:ascii="Times New Roman" w:hAnsi="Times New Roman" w:eastAsia="方正仿宋_GBK" w:cs="Times New Roman"/>
          <w:snapToGrid/>
          <w:w w:val="96"/>
          <w:kern w:val="2"/>
          <w:sz w:val="32"/>
          <w:szCs w:val="32"/>
          <w:lang w:val="en-US" w:eastAsia="zh-CN" w:bidi="ar-SA"/>
        </w:rPr>
        <w:t>孙  磊  延安街道党工委副书记、办事处主任</w:t>
      </w:r>
    </w:p>
    <w:p w14:paraId="780A3177">
      <w:pPr>
        <w:keepNext w:val="0"/>
        <w:keepLines w:val="0"/>
        <w:pageBreakBefore w:val="0"/>
        <w:widowControl w:val="0"/>
        <w:kinsoku/>
        <w:overflowPunct/>
        <w:topLinePunct w:val="0"/>
        <w:autoSpaceDE/>
        <w:autoSpaceDN/>
        <w:bidi w:val="0"/>
        <w:adjustRightInd/>
        <w:snapToGrid/>
        <w:spacing w:line="590" w:lineRule="exact"/>
        <w:ind w:firstLine="632" w:firstLineChars="200"/>
        <w:jc w:val="left"/>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w w:val="99"/>
          <w:kern w:val="2"/>
          <w:sz w:val="32"/>
          <w:szCs w:val="32"/>
          <w:lang w:val="en-US" w:eastAsia="zh-CN" w:bidi="ar-SA"/>
        </w:rPr>
        <w:t>领导小组下设推进组、宣传组、督导组。</w:t>
      </w:r>
    </w:p>
    <w:p w14:paraId="692439B1">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宣传组。牵头部门：区委宣传部，成员由各相关责任单位组成。</w:t>
      </w:r>
    </w:p>
    <w:p w14:paraId="42BCF82E">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推进组。牵头部门：各相关责任单位，成员由各乡街组成。</w:t>
      </w:r>
    </w:p>
    <w:p w14:paraId="3390EE08">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督导组。牵头部门：</w:t>
      </w:r>
      <w:r>
        <w:rPr>
          <w:rFonts w:hint="default" w:ascii="Times New Roman" w:hAnsi="Times New Roman" w:eastAsia="方正仿宋_GBK" w:cs="Times New Roman"/>
          <w:snapToGrid/>
          <w:w w:val="96"/>
          <w:kern w:val="2"/>
          <w:sz w:val="32"/>
          <w:szCs w:val="32"/>
          <w:shd w:val="clear" w:color="auto" w:fill="FFFFFF"/>
          <w:lang w:val="en-US" w:eastAsia="zh-CN" w:bidi="ar-SA"/>
        </w:rPr>
        <w:t>区委督查考核办</w:t>
      </w:r>
      <w:r>
        <w:rPr>
          <w:rFonts w:hint="default" w:ascii="Times New Roman" w:hAnsi="Times New Roman" w:eastAsia="方正仿宋_GBK" w:cs="Times New Roman"/>
          <w:snapToGrid/>
          <w:kern w:val="2"/>
          <w:sz w:val="32"/>
          <w:szCs w:val="32"/>
          <w:shd w:val="clear" w:color="auto" w:fill="FFFFFF"/>
          <w:lang w:val="en-US" w:eastAsia="zh-CN" w:bidi="ar-SA"/>
        </w:rPr>
        <w:t>，成员由区政府办、区发改委（民生办）、区财政局组成。</w:t>
      </w:r>
    </w:p>
    <w:p w14:paraId="05FCE6C9">
      <w:pPr>
        <w:jc w:val="left"/>
        <w:rPr>
          <w:rFonts w:hint="default" w:ascii="Times New Roman" w:hAnsi="Times New Roman" w:eastAsia="黑体" w:cs="Times New Roman"/>
          <w:sz w:val="32"/>
          <w:szCs w:val="32"/>
        </w:rPr>
        <w:sectPr>
          <w:pgSz w:w="11850" w:h="16783"/>
          <w:pgMar w:top="1440" w:right="1800" w:bottom="1440" w:left="1800" w:header="851" w:footer="992" w:gutter="0"/>
          <w:pgNumType w:fmt="numberInDash"/>
          <w:cols w:space="720" w:num="1"/>
          <w:docGrid w:type="lines" w:linePitch="312" w:charSpace="0"/>
        </w:sectPr>
      </w:pPr>
    </w:p>
    <w:p w14:paraId="74E3C771">
      <w:pPr>
        <w:keepNext w:val="0"/>
        <w:keepLines w:val="0"/>
        <w:pageBreakBefore w:val="0"/>
        <w:widowControl w:val="0"/>
        <w:kinsoku/>
        <w:overflowPunct/>
        <w:topLinePunct w:val="0"/>
        <w:autoSpaceDE/>
        <w:autoSpaceDN/>
        <w:bidi w:val="0"/>
        <w:adjustRightInd/>
        <w:snapToGrid/>
        <w:spacing w:line="590" w:lineRule="exact"/>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附件2</w:t>
      </w:r>
    </w:p>
    <w:p w14:paraId="06C61B4F">
      <w:pPr>
        <w:keepNext w:val="0"/>
        <w:keepLines w:val="0"/>
        <w:pageBreakBefore w:val="0"/>
        <w:widowControl w:val="0"/>
        <w:kinsoku/>
        <w:overflowPunct/>
        <w:topLinePunct w:val="0"/>
        <w:autoSpaceDE/>
        <w:autoSpaceDN/>
        <w:bidi w:val="0"/>
        <w:adjustRightInd/>
        <w:snapToGrid/>
        <w:spacing w:line="590" w:lineRule="exact"/>
        <w:jc w:val="left"/>
        <w:textAlignment w:val="auto"/>
        <w:rPr>
          <w:rFonts w:hint="default" w:ascii="Times New Roman" w:hAnsi="Times New Roman" w:eastAsia="方正黑体_GBK" w:cs="Times New Roman"/>
          <w:snapToGrid/>
          <w:kern w:val="2"/>
          <w:sz w:val="32"/>
          <w:szCs w:val="32"/>
          <w:lang w:val="en-US" w:eastAsia="zh-CN" w:bidi="ar-SA"/>
        </w:rPr>
      </w:pPr>
    </w:p>
    <w:p w14:paraId="5D390FE3">
      <w:pPr>
        <w:keepNext w:val="0"/>
        <w:keepLines w:val="0"/>
        <w:pageBreakBefore w:val="0"/>
        <w:widowControl w:val="0"/>
        <w:kinsoku/>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龙子湖区就业促进行动方案</w:t>
      </w:r>
    </w:p>
    <w:p w14:paraId="394763C3">
      <w:pPr>
        <w:keepNext w:val="0"/>
        <w:keepLines w:val="0"/>
        <w:pageBreakBefore w:val="0"/>
        <w:widowControl w:val="0"/>
        <w:kinsoku/>
        <w:overflowPunct/>
        <w:topLinePunct w:val="0"/>
        <w:autoSpaceDE/>
        <w:autoSpaceDN/>
        <w:bidi w:val="0"/>
        <w:adjustRightInd w:val="0"/>
        <w:snapToGrid w:val="0"/>
        <w:spacing w:after="0" w:line="590" w:lineRule="exact"/>
        <w:ind w:left="111" w:firstLine="631"/>
        <w:jc w:val="both"/>
        <w:textAlignment w:val="auto"/>
        <w:rPr>
          <w:rFonts w:hint="default" w:ascii="Times New Roman" w:hAnsi="Times New Roman" w:eastAsia="方正小标宋简体" w:cs="Times New Roman"/>
          <w:kern w:val="2"/>
          <w:sz w:val="44"/>
          <w:szCs w:val="44"/>
          <w:lang w:val="en-US" w:eastAsia="zh-CN" w:bidi="ar-SA"/>
        </w:rPr>
      </w:pPr>
    </w:p>
    <w:p w14:paraId="0CA36441">
      <w:pPr>
        <w:keepNext w:val="0"/>
        <w:keepLines w:val="0"/>
        <w:pageBreakBefore w:val="0"/>
        <w:widowControl w:val="0"/>
        <w:kinsoku/>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一、目标任务</w:t>
      </w:r>
    </w:p>
    <w:p w14:paraId="6451106E">
      <w:pPr>
        <w:keepNext w:val="0"/>
        <w:keepLines w:val="0"/>
        <w:pageBreakBefore w:val="0"/>
        <w:widowControl w:val="0"/>
        <w:kinsoku/>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楷体_GBK" w:cs="Times New Roman"/>
          <w:snapToGrid/>
          <w:kern w:val="2"/>
          <w:sz w:val="32"/>
          <w:szCs w:val="32"/>
          <w:lang w:val="en-US" w:eastAsia="zh-CN" w:bidi="ar-SA"/>
        </w:rPr>
        <w:t>（一）促进社区居民就近就业、充分就业。</w:t>
      </w:r>
      <w:r>
        <w:rPr>
          <w:rFonts w:hint="default" w:ascii="Times New Roman" w:hAnsi="Times New Roman" w:eastAsia="方正仿宋_GBK" w:cs="Times New Roman"/>
          <w:snapToGrid/>
          <w:kern w:val="2"/>
          <w:sz w:val="32"/>
          <w:szCs w:val="32"/>
          <w:shd w:val="clear" w:color="auto" w:fill="FFFFFF"/>
          <w:lang w:val="en-US" w:eastAsia="zh-CN" w:bidi="ar-SA"/>
        </w:rPr>
        <w:t>以社区为载体，聚焦困难群体就业，实施“三公里”就业圈建设，促进社区居民“家门口”就业；2022年力争50%社区达到“三公里”充分就业社区标准，到2025年80%以上社区达到“三公里”充分就业社区标准。</w:t>
      </w:r>
    </w:p>
    <w:p w14:paraId="1D848FEF">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楷体_GBK" w:cs="Times New Roman"/>
          <w:snapToGrid/>
          <w:kern w:val="2"/>
          <w:sz w:val="32"/>
          <w:szCs w:val="32"/>
          <w:lang w:val="en-US" w:eastAsia="zh-CN" w:bidi="ar-SA"/>
        </w:rPr>
        <w:t>（二）促进人力资源精准匹配。</w:t>
      </w:r>
      <w:r>
        <w:rPr>
          <w:rFonts w:hint="default" w:ascii="Times New Roman" w:hAnsi="Times New Roman" w:eastAsia="方正仿宋_GBK" w:cs="Times New Roman"/>
          <w:snapToGrid/>
          <w:kern w:val="2"/>
          <w:sz w:val="32"/>
          <w:szCs w:val="32"/>
          <w:shd w:val="clear" w:color="auto" w:fill="FFFFFF"/>
          <w:lang w:val="en-US" w:eastAsia="zh-CN" w:bidi="ar-SA"/>
        </w:rPr>
        <w:t>聚焦劳动力资源供求信息不对称、技术工人紧缺等难题，发挥组织就业、技能就业的重要作用，着力解决企业缺工问题。大力提高技能人才供给，全年新增技能人才600人以上；举办招聘会不少于20场次，达成就业意向不少于200人次。</w:t>
      </w:r>
    </w:p>
    <w:p w14:paraId="287FFCFE">
      <w:pPr>
        <w:keepNext w:val="0"/>
        <w:keepLines w:val="0"/>
        <w:pageBreakBefore w:val="0"/>
        <w:widowControl w:val="0"/>
        <w:kinsoku/>
        <w:overflowPunct/>
        <w:topLinePunct w:val="0"/>
        <w:autoSpaceDE/>
        <w:autoSpaceDN/>
        <w:bidi w:val="0"/>
        <w:adjustRightInd/>
        <w:snapToGrid/>
        <w:spacing w:line="590" w:lineRule="exact"/>
        <w:ind w:firstLine="645"/>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二、行动内容</w:t>
      </w:r>
    </w:p>
    <w:p w14:paraId="35F7AFCF">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楷体"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（一）以社区服务为载体，助力“家门口”就业。</w:t>
      </w:r>
    </w:p>
    <w:p w14:paraId="5E6F3E71">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1.创新社区就业服务平台。</w:t>
      </w:r>
      <w:r>
        <w:rPr>
          <w:rFonts w:hint="default" w:ascii="Times New Roman" w:hAnsi="Times New Roman" w:eastAsia="方正仿宋_GBK" w:cs="Times New Roman"/>
          <w:snapToGrid/>
          <w:kern w:val="2"/>
          <w:sz w:val="32"/>
          <w:szCs w:val="32"/>
          <w:shd w:val="clear" w:color="auto" w:fill="FFFFFF"/>
          <w:lang w:val="en-US" w:eastAsia="zh-CN" w:bidi="ar-SA"/>
        </w:rPr>
        <w:t>大力开展“三公里”就业圈建设，帮助社区居民和小微企业便捷掌握就业政策、岗位招聘信息等，达到“三公里”内享受公共就业服务、实现就业的目标。积极开展“三公里”充分就业社区创建工作，促进50%以上社区达到“三公里”充分就业社区标准。</w:t>
      </w:r>
    </w:p>
    <w:p w14:paraId="6EC1D499">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2.帮扶社区困难群体就业。</w:t>
      </w:r>
      <w:r>
        <w:rPr>
          <w:rFonts w:hint="default" w:ascii="Times New Roman" w:hAnsi="Times New Roman" w:eastAsia="方正仿宋_GBK" w:cs="Times New Roman"/>
          <w:snapToGrid/>
          <w:kern w:val="2"/>
          <w:sz w:val="32"/>
          <w:szCs w:val="32"/>
          <w:shd w:val="clear" w:color="auto" w:fill="FFFFFF"/>
          <w:lang w:val="en-US" w:eastAsia="zh-CN" w:bidi="ar-SA"/>
        </w:rPr>
        <w:t>继续开发公益性岗位500个，托底安置通过市场渠道难以实现就业的困难人员。2022年，在街道（乡镇）、社区（行政村）开发疫情防控员、安全信息员等临时性专项岗位275个，安置有就业意愿的因疫等原因失业人员，根据工作任务和工作时间，给予不低于当地最低工资标准的工资。落实定期联系失业人员制度，完善就业困难人员档案，实行实名制动态管理和分类帮扶，提供一对一就业援助。</w:t>
      </w:r>
    </w:p>
    <w:p w14:paraId="347B1F35">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（二）以扩容提质为关键，促进重点群体就业。</w:t>
      </w:r>
    </w:p>
    <w:p w14:paraId="2D3AFA87">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3.支持高校毕业生就业。</w:t>
      </w:r>
      <w:r>
        <w:rPr>
          <w:rFonts w:hint="default" w:ascii="Times New Roman" w:hAnsi="Times New Roman" w:eastAsia="方正仿宋_GBK" w:cs="Times New Roman"/>
          <w:snapToGrid/>
          <w:kern w:val="2"/>
          <w:sz w:val="32"/>
          <w:szCs w:val="32"/>
          <w:shd w:val="clear" w:color="auto" w:fill="FFFFFF"/>
          <w:lang w:val="en-US" w:eastAsia="zh-CN" w:bidi="ar-SA"/>
        </w:rPr>
        <w:t>贯彻落实“百万大学生兴皖”行动，加强高校毕业生就业创业政策供给，宣传大学生租房补贴等政策。鼓励国有企业开发优质就业岗位，吸纳高校毕业生就业。每年募集就业见习岗位不低于300个，开发200个短期就业见习岗位，安排未就业高校毕业生开展3-6个月就业见习、参与疫情防控等服务，根据工作任务和工作时间，由见习单位给予不低于2000元/月的生活补助，就业资金按规定标准给予补贴。（以市里最终目标为准）</w:t>
      </w:r>
    </w:p>
    <w:p w14:paraId="1A85406C">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4.促进农民工就业。</w:t>
      </w:r>
      <w:r>
        <w:rPr>
          <w:rFonts w:hint="default" w:ascii="Times New Roman" w:hAnsi="Times New Roman" w:eastAsia="方正仿宋_GBK" w:cs="Times New Roman"/>
          <w:snapToGrid/>
          <w:kern w:val="2"/>
          <w:sz w:val="32"/>
          <w:szCs w:val="32"/>
          <w:shd w:val="clear" w:color="auto" w:fill="FFFFFF"/>
          <w:lang w:val="en-US" w:eastAsia="zh-CN" w:bidi="ar-SA"/>
        </w:rPr>
        <w:t>扎实推进“两强一增”工作，全年开展农民工职业技能培训1650人次以上。失业农民工可在户籍地、常住地、就业地、参保地进行登记，为有需要的农民工免费提供1次职业指导、3个适合的岗位信息、1个培训项目。对生产经营遇到困难、确实需要裁员的企业，提前介入指导，鼓励同等条件下优先留用脱贫人口及防止返贫监测对象。</w:t>
      </w:r>
    </w:p>
    <w:p w14:paraId="18C514C6">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5.推动退役军人高质量就业。</w:t>
      </w:r>
      <w:r>
        <w:rPr>
          <w:rFonts w:hint="default" w:ascii="Times New Roman" w:hAnsi="Times New Roman" w:eastAsia="方正仿宋_GBK" w:cs="Times New Roman"/>
          <w:snapToGrid/>
          <w:kern w:val="2"/>
          <w:sz w:val="32"/>
          <w:szCs w:val="32"/>
          <w:shd w:val="clear" w:color="auto" w:fill="FFFFFF"/>
          <w:lang w:val="en-US" w:eastAsia="zh-CN" w:bidi="ar-SA"/>
        </w:rPr>
        <w:t>组织开展退役军人就业服务月活动，举办专场招聘会，拓宽就业渠道，精准提供就业援助、职业技能培训等服务，促进退役军人高质量就业。</w:t>
      </w:r>
    </w:p>
    <w:p w14:paraId="643FA688">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（三）以供需匹配为抓手，强化企业用工服务。</w:t>
      </w:r>
    </w:p>
    <w:p w14:paraId="6E74EA8A">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6.建立健全服务企业用工机制。</w:t>
      </w:r>
      <w:r>
        <w:rPr>
          <w:rFonts w:hint="default" w:ascii="Times New Roman" w:hAnsi="Times New Roman" w:eastAsia="方正仿宋_GBK" w:cs="Times New Roman"/>
          <w:snapToGrid/>
          <w:kern w:val="2"/>
          <w:sz w:val="32"/>
          <w:szCs w:val="32"/>
          <w:shd w:val="clear" w:color="auto" w:fill="FFFFFF"/>
          <w:lang w:val="en-US" w:eastAsia="zh-CN" w:bidi="ar-SA"/>
        </w:rPr>
        <w:t>健全重点企业用工常态化服务机制，在重点领域、重点行业建立重点企业“缺工清单”制度，落实用工包保责任制，保障企业用工需求实时更新，为重点企业配备人社服务专员，提供“一企一策”个性化用工招工服务，让重点企业用工有保障、季节性缺工有缓解。区政府在开展重大项目招商引资时，积极会同有关部门做好招用工服务，为招商引资创造良好用工环境。</w:t>
      </w:r>
    </w:p>
    <w:p w14:paraId="03E411CC">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7.建立劳动力资源协作联盟。</w:t>
      </w:r>
      <w:r>
        <w:rPr>
          <w:rFonts w:hint="default" w:ascii="Times New Roman" w:hAnsi="Times New Roman" w:eastAsia="方正仿宋_GBK" w:cs="Times New Roman"/>
          <w:snapToGrid/>
          <w:kern w:val="2"/>
          <w:sz w:val="32"/>
          <w:szCs w:val="32"/>
          <w:shd w:val="clear" w:color="auto" w:fill="FFFFFF"/>
          <w:lang w:val="en-US" w:eastAsia="zh-CN" w:bidi="ar-SA"/>
        </w:rPr>
        <w:t>积极建立劳务对接机制，促进劳动者市内转移就业。2022年底前劳动力资源协作联盟机制建立。</w:t>
      </w:r>
    </w:p>
    <w:p w14:paraId="524C8ECD">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8.打造求职用工“一网通”平台。</w:t>
      </w:r>
      <w:r>
        <w:rPr>
          <w:rFonts w:hint="default" w:ascii="Times New Roman" w:hAnsi="Times New Roman" w:eastAsia="方正仿宋_GBK" w:cs="Times New Roman"/>
          <w:snapToGrid/>
          <w:kern w:val="2"/>
          <w:sz w:val="32"/>
          <w:szCs w:val="32"/>
          <w:shd w:val="clear" w:color="auto" w:fill="FFFFFF"/>
          <w:lang w:val="en-US" w:eastAsia="zh-CN" w:bidi="ar-SA"/>
        </w:rPr>
        <w:t>加强企业岗位招聘信息、劳动者求职信息动态更新，推进实现缺工企业岗位需求“一点发布、全省共享”、劳动者就业需求“一点填写、精准送岗”。推广求职用工APP小程序，让劳动者求职更加方便快捷、企业用工更加精准高效。</w:t>
      </w:r>
    </w:p>
    <w:p w14:paraId="07C88FF9">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9.扩大技能人才供给。</w:t>
      </w:r>
      <w:r>
        <w:rPr>
          <w:rFonts w:hint="default" w:ascii="Times New Roman" w:hAnsi="Times New Roman" w:eastAsia="方正仿宋_GBK" w:cs="Times New Roman"/>
          <w:snapToGrid/>
          <w:kern w:val="2"/>
          <w:sz w:val="32"/>
          <w:szCs w:val="32"/>
          <w:shd w:val="clear" w:color="auto" w:fill="FFFFFF"/>
          <w:lang w:val="en-US" w:eastAsia="zh-CN" w:bidi="ar-SA"/>
        </w:rPr>
        <w:t>精准开展职业技能培训，全年开展补贴性培训3100人次以上。加强校企合作，鼓励企业与技工院校、职业院校开展技能人才订单培养、委托培养、短期培训，为企业“量身打造”技能人才。推进企业自主技能等级认定工作，引导企业将评价结果与待遇挂钩，多方位打造技能人才成长渠道，年新增技能人才600人以上。</w:t>
      </w:r>
    </w:p>
    <w:p w14:paraId="0C7F6009">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（四）以提升质量为支撑，深化多元服务机制。</w:t>
      </w:r>
    </w:p>
    <w:p w14:paraId="61670C9D">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10.发挥多元服务主体作用。</w:t>
      </w:r>
      <w:r>
        <w:rPr>
          <w:rFonts w:hint="default" w:ascii="Times New Roman" w:hAnsi="Times New Roman" w:eastAsia="方正仿宋_GBK" w:cs="Times New Roman"/>
          <w:snapToGrid/>
          <w:kern w:val="2"/>
          <w:sz w:val="32"/>
          <w:szCs w:val="32"/>
          <w:shd w:val="clear" w:color="auto" w:fill="FFFFFF"/>
          <w:lang w:val="en-US" w:eastAsia="zh-CN" w:bidi="ar-SA"/>
        </w:rPr>
        <w:t>发展一批聚焦主业、专精特新的中小型人力资源服务机构，鼓励支持人力资源服务机构参选安徽省服务业百强企业。落实《网络招聘服务管理规定》、《安徽省人力资源市场条例》，推动用人单位依法用工、人力资源服务机构诚信服务。引导行业自律、规范内部治理，定期开展清理整治人力资源市场秩序专项行动。</w:t>
      </w:r>
    </w:p>
    <w:p w14:paraId="248FEAC5">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提升就业创业服务水平。加强“劳动最光荣，奋斗最幸福”就业观宣传，努力营造崇尚劳动、积极就业的社会氛围。积极组织职业指导进校园、进社区等活动，指导青年群体、就业困难人员等合理设定就业预期，树立正确的就业观。常态化开展“四进一促”稳就业活动，组织实施公共就业服务专项行动，举办特色招聘会。面向重点群体、用人单位、园区、高校等分类宣传就业政策及服务信息，让公共就业服务“触手可及”，持续提升群众获得感和满意度。</w:t>
      </w:r>
    </w:p>
    <w:p w14:paraId="6387D7A4">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三、支持政策</w:t>
      </w:r>
    </w:p>
    <w:p w14:paraId="4EA4C19B">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楷体_GBK" w:cs="Times New Roman"/>
          <w:snapToGrid/>
          <w:kern w:val="2"/>
          <w:sz w:val="32"/>
          <w:szCs w:val="32"/>
          <w:lang w:val="en-US" w:eastAsia="zh-CN" w:bidi="ar-SA"/>
        </w:rPr>
        <w:t>（一）“三公里”充分就业社区奖补。</w:t>
      </w:r>
      <w:r>
        <w:rPr>
          <w:rFonts w:hint="default" w:ascii="Times New Roman" w:hAnsi="Times New Roman" w:eastAsia="方正仿宋_GBK" w:cs="Times New Roman"/>
          <w:snapToGrid/>
          <w:kern w:val="2"/>
          <w:sz w:val="32"/>
          <w:szCs w:val="32"/>
          <w:shd w:val="clear" w:color="auto" w:fill="FFFFFF"/>
          <w:lang w:val="en-US" w:eastAsia="zh-CN" w:bidi="ar-SA"/>
        </w:rPr>
        <w:t>对认定的“三公里”充分就业社区，按照不低于10000元/年的标准给予奖补，主要用于社区就业创业服务、政策宣传及“三公里”就业圈宣传推广等，所需资金从市、县、区财政资金列支，其中：市级财政承担40%，县（区）财政承担60%。</w:t>
      </w:r>
    </w:p>
    <w:p w14:paraId="5F961341">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楷体_GBK" w:cs="Times New Roman"/>
          <w:snapToGrid/>
          <w:kern w:val="2"/>
          <w:sz w:val="32"/>
          <w:szCs w:val="32"/>
          <w:lang w:val="en-US" w:eastAsia="zh-CN" w:bidi="ar-SA"/>
        </w:rPr>
        <w:t>（二）“三公里”就业圈就业补贴。</w:t>
      </w:r>
      <w:r>
        <w:rPr>
          <w:rFonts w:hint="default" w:ascii="Times New Roman" w:hAnsi="Times New Roman" w:eastAsia="方正仿宋_GBK" w:cs="Times New Roman"/>
          <w:snapToGrid/>
          <w:kern w:val="2"/>
          <w:sz w:val="32"/>
          <w:szCs w:val="32"/>
          <w:shd w:val="clear" w:color="auto" w:fill="FFFFFF"/>
          <w:lang w:val="en-US" w:eastAsia="zh-CN" w:bidi="ar-SA"/>
        </w:rPr>
        <w:t>通过购买服务或委托运营的方式，对运营机构组织重点群体稳定就业、灵活就业的，根据就业人数，按规定给予运营机构稳定就业服务补助、灵活就业服务补助。对运营机构帮扶就业困难人员就业的，根据就业人数，给予运营机构就业援助服务补助。对经营实体开发公益性岗位，组织公益性岗位对接，服务就业困难人员到岗就业，按规定给予经营实体公益性岗位社保补贴和岗位补贴。各项补助、补贴从就业补助资金列支，具体补助标准按照安徽省购买基层公共就业服务指导目录执行。</w:t>
      </w:r>
    </w:p>
    <w:p w14:paraId="631945ED">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楷体_GBK" w:cs="Times New Roman"/>
          <w:snapToGrid/>
          <w:kern w:val="2"/>
          <w:sz w:val="32"/>
          <w:szCs w:val="32"/>
          <w:lang w:val="en-US" w:eastAsia="zh-CN" w:bidi="ar-SA"/>
        </w:rPr>
        <w:t>（三）职业技能培训补贴。</w:t>
      </w:r>
      <w:r>
        <w:rPr>
          <w:rFonts w:hint="default" w:ascii="Times New Roman" w:hAnsi="Times New Roman" w:eastAsia="方正仿宋_GBK" w:cs="Times New Roman"/>
          <w:snapToGrid/>
          <w:kern w:val="2"/>
          <w:sz w:val="32"/>
          <w:szCs w:val="32"/>
          <w:shd w:val="clear" w:color="auto" w:fill="FFFFFF"/>
          <w:lang w:val="en-US" w:eastAsia="zh-CN" w:bidi="ar-SA"/>
        </w:rPr>
        <w:t>聚焦农民工、失业人员等重点群体就业需求，精准开展就业技能培训，按规定给予培训补贴。2022年，因疫情防控实施静态管理7日以上的县、区，可对因疫情防控停产停业的中小微企业，依据参加失业保险职工人数，按500元/人标准发放一次性留工培训补助，同一企业只能享受一次，所需资金由失业保险基金承担。</w:t>
      </w:r>
    </w:p>
    <w:p w14:paraId="496280AB">
      <w:pPr>
        <w:keepNext w:val="0"/>
        <w:keepLines w:val="0"/>
        <w:pageBreakBefore w:val="0"/>
        <w:widowControl w:val="0"/>
        <w:kinsoku/>
        <w:overflowPunct/>
        <w:topLinePunct w:val="0"/>
        <w:autoSpaceDE/>
        <w:autoSpaceDN/>
        <w:bidi w:val="0"/>
        <w:adjustRightInd/>
        <w:snapToGrid/>
        <w:spacing w:line="590" w:lineRule="exact"/>
        <w:ind w:firstLine="480" w:firstLineChars="15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楷体_GBK" w:cs="Times New Roman"/>
          <w:snapToGrid/>
          <w:kern w:val="2"/>
          <w:sz w:val="32"/>
          <w:szCs w:val="32"/>
          <w:lang w:val="en-US" w:eastAsia="zh-CN" w:bidi="ar-SA"/>
        </w:rPr>
        <w:t>（四）阶段性稳就业补贴。</w:t>
      </w:r>
      <w:r>
        <w:rPr>
          <w:rFonts w:hint="default" w:ascii="Times New Roman" w:hAnsi="Times New Roman" w:eastAsia="方正仿宋_GBK" w:cs="Times New Roman"/>
          <w:snapToGrid/>
          <w:kern w:val="2"/>
          <w:sz w:val="32"/>
          <w:szCs w:val="32"/>
          <w:shd w:val="clear" w:color="auto" w:fill="FFFFFF"/>
          <w:lang w:val="en-US" w:eastAsia="zh-CN" w:bidi="ar-SA"/>
        </w:rPr>
        <w:t>对参加失业保险人数在10人以上（含10人）,疫情防控期间保持正常生产、不裁员或少裁员的餐饮、零售、旅游、公路水路铁路运输等特困行业企业，根据企业参加失业保险人数，由就业补助资金按1000元/人标准给予企业一次性稳定就业补贴，最高不超过50万元。一次性稳定就业补贴与失业保险稳岗返还、一次性留工培训补助政策不重复享受，已享受失业保险稳岗返还或留工培训补助的企业获得资金低于一次性稳定就业补贴的，按差额予以补足。</w:t>
      </w:r>
    </w:p>
    <w:p w14:paraId="11875429">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楷体_GBK" w:cs="Times New Roman"/>
          <w:snapToGrid/>
          <w:kern w:val="2"/>
          <w:sz w:val="32"/>
          <w:szCs w:val="32"/>
          <w:lang w:val="en-US" w:eastAsia="zh-CN" w:bidi="ar-SA"/>
        </w:rPr>
        <w:t>（五）临时性专项岗位奖补。</w:t>
      </w:r>
      <w:r>
        <w:rPr>
          <w:rFonts w:hint="default" w:ascii="Times New Roman" w:hAnsi="Times New Roman" w:eastAsia="方正仿宋_GBK" w:cs="Times New Roman"/>
          <w:snapToGrid/>
          <w:kern w:val="2"/>
          <w:sz w:val="32"/>
          <w:szCs w:val="32"/>
          <w:shd w:val="clear" w:color="auto" w:fill="FFFFFF"/>
          <w:lang w:val="en-US" w:eastAsia="zh-CN" w:bidi="ar-SA"/>
        </w:rPr>
        <w:t>对县、区开发临时性专项岗位安置因疫情等原因失业人员就业的，根据安置人数，由省财政给予县、区3000元/人的一次性奖补。</w:t>
      </w:r>
    </w:p>
    <w:p w14:paraId="0793C07F">
      <w:pPr>
        <w:keepNext w:val="0"/>
        <w:keepLines w:val="0"/>
        <w:pageBreakBefore w:val="0"/>
        <w:widowControl w:val="0"/>
        <w:kinsoku/>
        <w:overflowPunct/>
        <w:topLinePunct w:val="0"/>
        <w:autoSpaceDE/>
        <w:autoSpaceDN/>
        <w:bidi w:val="0"/>
        <w:adjustRightInd/>
        <w:snapToGrid/>
        <w:spacing w:line="590" w:lineRule="exact"/>
        <w:jc w:val="both"/>
        <w:textAlignment w:val="auto"/>
        <w:rPr>
          <w:rFonts w:hint="default" w:ascii="Times New Roman" w:hAnsi="Times New Roman" w:eastAsia="仿宋" w:cs="Times New Roman"/>
          <w:snapToGrid/>
          <w:kern w:val="2"/>
          <w:sz w:val="32"/>
          <w:szCs w:val="32"/>
          <w:lang w:val="en-US" w:eastAsia="zh-CN" w:bidi="ar-SA"/>
        </w:rPr>
      </w:pPr>
    </w:p>
    <w:p w14:paraId="069DDEAA">
      <w:pPr>
        <w:keepNext w:val="0"/>
        <w:keepLines w:val="0"/>
        <w:pageBreakBefore w:val="0"/>
        <w:widowControl/>
        <w:kinsoku/>
        <w:wordWrap w:val="0"/>
        <w:overflowPunct/>
        <w:topLinePunct w:val="0"/>
        <w:autoSpaceDE/>
        <w:autoSpaceDN/>
        <w:bidi w:val="0"/>
        <w:adjustRightInd/>
        <w:snapToGrid/>
        <w:spacing w:line="590" w:lineRule="exact"/>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附：1、重点工作任务分工</w:t>
      </w:r>
    </w:p>
    <w:p w14:paraId="0CCCE551">
      <w:pPr>
        <w:keepNext w:val="0"/>
        <w:keepLines w:val="0"/>
        <w:pageBreakBefore w:val="0"/>
        <w:widowControl/>
        <w:kinsoku/>
        <w:wordWrap w:val="0"/>
        <w:overflowPunct/>
        <w:topLinePunct w:val="0"/>
        <w:autoSpaceDE/>
        <w:autoSpaceDN/>
        <w:bidi w:val="0"/>
        <w:adjustRightInd/>
        <w:snapToGrid/>
        <w:spacing w:line="590" w:lineRule="exact"/>
        <w:ind w:firstLine="64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2、2022年就业促进行动目标任务分解表</w:t>
      </w:r>
    </w:p>
    <w:p w14:paraId="67FD4422">
      <w:pPr>
        <w:widowControl w:val="0"/>
        <w:kinsoku/>
        <w:autoSpaceDE/>
        <w:autoSpaceDN/>
        <w:adjustRightInd/>
        <w:snapToGrid/>
        <w:spacing w:line="540" w:lineRule="exact"/>
        <w:jc w:val="left"/>
        <w:textAlignment w:val="auto"/>
        <w:rPr>
          <w:rFonts w:hint="default" w:ascii="Times New Roman" w:hAnsi="Times New Roman" w:eastAsia="方正黑体_GBK" w:cs="Times New Roman"/>
          <w:snapToGrid/>
          <w:kern w:val="2"/>
          <w:sz w:val="32"/>
          <w:szCs w:val="32"/>
          <w:lang w:val="en-US" w:eastAsia="zh-CN" w:bidi="ar-SA"/>
        </w:rPr>
      </w:pPr>
    </w:p>
    <w:p w14:paraId="2ED91460">
      <w:pPr>
        <w:widowControl w:val="0"/>
        <w:kinsoku/>
        <w:autoSpaceDE/>
        <w:autoSpaceDN/>
        <w:adjustRightInd/>
        <w:snapToGrid/>
        <w:spacing w:line="540" w:lineRule="exact"/>
        <w:jc w:val="left"/>
        <w:textAlignment w:val="auto"/>
        <w:rPr>
          <w:rFonts w:hint="default" w:ascii="Times New Roman" w:hAnsi="Times New Roman" w:eastAsia="方正黑体_GBK" w:cs="Times New Roman"/>
          <w:snapToGrid/>
          <w:kern w:val="2"/>
          <w:sz w:val="32"/>
          <w:szCs w:val="32"/>
          <w:lang w:val="en-US" w:eastAsia="zh-CN" w:bidi="ar-SA"/>
        </w:rPr>
      </w:pPr>
    </w:p>
    <w:p w14:paraId="7F8D200B">
      <w:pPr>
        <w:widowControl w:val="0"/>
        <w:kinsoku/>
        <w:autoSpaceDE/>
        <w:autoSpaceDN/>
        <w:adjustRightInd/>
        <w:snapToGrid/>
        <w:spacing w:line="540" w:lineRule="exact"/>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附件2-1</w:t>
      </w:r>
    </w:p>
    <w:p w14:paraId="4C8EC2AF">
      <w:pPr>
        <w:widowControl w:val="0"/>
        <w:kinsoku/>
        <w:autoSpaceDE/>
        <w:autoSpaceDN/>
        <w:adjustRightInd/>
        <w:snapToGrid/>
        <w:spacing w:line="560" w:lineRule="exac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重点工作任务分工</w:t>
      </w:r>
    </w:p>
    <w:p w14:paraId="2DE43F43">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44"/>
          <w:szCs w:val="44"/>
          <w:lang w:val="en-US" w:eastAsia="zh-CN" w:bidi="ar-SA"/>
        </w:rPr>
      </w:pPr>
      <w:r>
        <w:rPr>
          <w:rFonts w:hint="default" w:ascii="Times New Roman" w:hAnsi="Times New Roman" w:eastAsia="方正仿宋_GBK" w:cs="Times New Roman"/>
          <w:snapToGrid/>
          <w:kern w:val="0"/>
          <w:sz w:val="24"/>
          <w:szCs w:val="24"/>
          <w:lang w:val="en-US" w:eastAsia="zh-CN" w:bidi="ar-SA"/>
        </w:rPr>
        <w:t>（以市里最终目标为准）</w:t>
      </w:r>
    </w:p>
    <w:tbl>
      <w:tblPr>
        <w:tblStyle w:val="10"/>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15" w:type="dxa"/>
          <w:left w:w="15" w:type="dxa"/>
          <w:bottom w:w="15" w:type="dxa"/>
          <w:right w:w="15" w:type="dxa"/>
        </w:tblCellMar>
      </w:tblPr>
      <w:tblGrid>
        <w:gridCol w:w="732"/>
        <w:gridCol w:w="1924"/>
        <w:gridCol w:w="3762"/>
        <w:gridCol w:w="2986"/>
      </w:tblGrid>
      <w:tr w14:paraId="486F80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450" w:hRule="atLeast"/>
          <w:tblHeader/>
          <w:jc w:val="center"/>
        </w:trPr>
        <w:tc>
          <w:tcPr>
            <w:tcW w:w="732" w:type="dxa"/>
            <w:noWrap w:val="0"/>
            <w:vAlign w:val="center"/>
          </w:tcPr>
          <w:p w14:paraId="47240813">
            <w:pPr>
              <w:widowControl/>
              <w:kinsoku/>
              <w:autoSpaceDE/>
              <w:autoSpaceDN/>
              <w:adjustRightInd/>
              <w:snapToGrid/>
              <w:spacing w:line="400" w:lineRule="exact"/>
              <w:ind w:left="42" w:leftChars="20" w:right="42" w:rightChars="20"/>
              <w:jc w:val="center"/>
              <w:textAlignment w:val="center"/>
              <w:rPr>
                <w:rFonts w:hint="default" w:ascii="Times New Roman" w:hAnsi="Times New Roman" w:eastAsia="方正黑体_GBK" w:cs="Times New Roman"/>
                <w:snapToGrid/>
                <w:kern w:val="2"/>
                <w:sz w:val="30"/>
                <w:szCs w:val="30"/>
                <w:lang w:val="en-US" w:eastAsia="zh-CN" w:bidi="ar-SA"/>
              </w:rPr>
            </w:pPr>
            <w:r>
              <w:rPr>
                <w:rFonts w:hint="default" w:ascii="Times New Roman" w:hAnsi="Times New Roman" w:eastAsia="方正黑体_GBK" w:cs="Times New Roman"/>
                <w:snapToGrid/>
                <w:kern w:val="0"/>
                <w:sz w:val="30"/>
                <w:szCs w:val="30"/>
                <w:lang w:val="en-US" w:eastAsia="zh-CN" w:bidi="ar-SA"/>
              </w:rPr>
              <w:t>序号</w:t>
            </w:r>
          </w:p>
        </w:tc>
        <w:tc>
          <w:tcPr>
            <w:tcW w:w="1924" w:type="dxa"/>
            <w:noWrap w:val="0"/>
            <w:vAlign w:val="center"/>
          </w:tcPr>
          <w:p w14:paraId="674F0F82">
            <w:pPr>
              <w:widowControl/>
              <w:kinsoku/>
              <w:autoSpaceDE/>
              <w:autoSpaceDN/>
              <w:adjustRightInd/>
              <w:snapToGrid/>
              <w:spacing w:line="400" w:lineRule="exact"/>
              <w:ind w:left="42" w:leftChars="20" w:right="42" w:rightChars="20"/>
              <w:jc w:val="center"/>
              <w:textAlignment w:val="center"/>
              <w:rPr>
                <w:rFonts w:hint="default" w:ascii="Times New Roman" w:hAnsi="Times New Roman" w:eastAsia="方正黑体_GBK" w:cs="Times New Roman"/>
                <w:snapToGrid/>
                <w:kern w:val="2"/>
                <w:sz w:val="30"/>
                <w:szCs w:val="30"/>
                <w:lang w:val="en-US" w:eastAsia="zh-CN" w:bidi="ar-SA"/>
              </w:rPr>
            </w:pPr>
            <w:r>
              <w:rPr>
                <w:rFonts w:hint="default" w:ascii="Times New Roman" w:hAnsi="Times New Roman" w:eastAsia="方正黑体_GBK" w:cs="Times New Roman"/>
                <w:snapToGrid/>
                <w:kern w:val="0"/>
                <w:sz w:val="30"/>
                <w:szCs w:val="30"/>
                <w:lang w:val="en-US" w:eastAsia="zh-CN" w:bidi="ar-SA"/>
              </w:rPr>
              <w:t>重点任务</w:t>
            </w:r>
          </w:p>
        </w:tc>
        <w:tc>
          <w:tcPr>
            <w:tcW w:w="3762" w:type="dxa"/>
            <w:noWrap w:val="0"/>
            <w:vAlign w:val="center"/>
          </w:tcPr>
          <w:p w14:paraId="631B8293">
            <w:pPr>
              <w:widowControl/>
              <w:kinsoku/>
              <w:autoSpaceDE/>
              <w:autoSpaceDN/>
              <w:adjustRightInd/>
              <w:snapToGrid/>
              <w:spacing w:line="400" w:lineRule="exact"/>
              <w:ind w:left="42" w:leftChars="20" w:right="42" w:rightChars="20"/>
              <w:jc w:val="center"/>
              <w:textAlignment w:val="center"/>
              <w:rPr>
                <w:rFonts w:hint="default" w:ascii="Times New Roman" w:hAnsi="Times New Roman" w:eastAsia="方正黑体_GBK" w:cs="Times New Roman"/>
                <w:snapToGrid/>
                <w:kern w:val="2"/>
                <w:sz w:val="30"/>
                <w:szCs w:val="30"/>
                <w:lang w:val="en-US" w:eastAsia="zh-CN" w:bidi="ar-SA"/>
              </w:rPr>
            </w:pPr>
            <w:r>
              <w:rPr>
                <w:rFonts w:hint="default" w:ascii="Times New Roman" w:hAnsi="Times New Roman" w:eastAsia="方正黑体_GBK" w:cs="Times New Roman"/>
                <w:snapToGrid/>
                <w:kern w:val="0"/>
                <w:sz w:val="30"/>
                <w:szCs w:val="30"/>
                <w:lang w:val="en-US" w:eastAsia="zh-CN" w:bidi="ar-SA"/>
              </w:rPr>
              <w:t>时限要求</w:t>
            </w:r>
          </w:p>
        </w:tc>
        <w:tc>
          <w:tcPr>
            <w:tcW w:w="2986" w:type="dxa"/>
            <w:noWrap w:val="0"/>
            <w:vAlign w:val="center"/>
          </w:tcPr>
          <w:p w14:paraId="4B7993B3">
            <w:pPr>
              <w:widowControl/>
              <w:kinsoku/>
              <w:autoSpaceDE/>
              <w:autoSpaceDN/>
              <w:adjustRightInd/>
              <w:snapToGrid/>
              <w:spacing w:line="400" w:lineRule="exact"/>
              <w:ind w:left="42" w:leftChars="20" w:right="42" w:rightChars="20"/>
              <w:jc w:val="center"/>
              <w:textAlignment w:val="center"/>
              <w:rPr>
                <w:rFonts w:hint="default" w:ascii="Times New Roman" w:hAnsi="Times New Roman" w:eastAsia="方正黑体_GBK" w:cs="Times New Roman"/>
                <w:snapToGrid/>
                <w:kern w:val="2"/>
                <w:sz w:val="30"/>
                <w:szCs w:val="30"/>
                <w:lang w:val="en-US" w:eastAsia="zh-CN" w:bidi="ar-SA"/>
              </w:rPr>
            </w:pPr>
            <w:r>
              <w:rPr>
                <w:rFonts w:hint="default" w:ascii="Times New Roman" w:hAnsi="Times New Roman" w:eastAsia="方正黑体_GBK" w:cs="Times New Roman"/>
                <w:snapToGrid/>
                <w:kern w:val="0"/>
                <w:sz w:val="30"/>
                <w:szCs w:val="30"/>
                <w:lang w:val="en-US" w:eastAsia="zh-CN" w:bidi="ar-SA"/>
              </w:rPr>
              <w:t>责任单位</w:t>
            </w:r>
          </w:p>
        </w:tc>
      </w:tr>
      <w:tr w14:paraId="0020A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1735" w:hRule="atLeast"/>
          <w:jc w:val="center"/>
        </w:trPr>
        <w:tc>
          <w:tcPr>
            <w:tcW w:w="732" w:type="dxa"/>
            <w:noWrap w:val="0"/>
            <w:vAlign w:val="center"/>
          </w:tcPr>
          <w:p w14:paraId="7EF07470">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2"/>
                <w:sz w:val="24"/>
                <w:szCs w:val="24"/>
                <w:lang w:val="en-US" w:eastAsia="zh-CN" w:bidi="ar-SA"/>
              </w:rPr>
            </w:pPr>
            <w:r>
              <w:rPr>
                <w:rFonts w:hint="default" w:ascii="Times New Roman" w:hAnsi="Times New Roman" w:eastAsia="仿宋" w:cs="Times New Roman"/>
                <w:snapToGrid/>
                <w:kern w:val="0"/>
                <w:sz w:val="24"/>
                <w:szCs w:val="24"/>
                <w:lang w:val="en-US" w:eastAsia="zh-CN" w:bidi="ar-SA"/>
              </w:rPr>
              <w:t>1</w:t>
            </w:r>
          </w:p>
        </w:tc>
        <w:tc>
          <w:tcPr>
            <w:tcW w:w="1924" w:type="dxa"/>
            <w:noWrap w:val="0"/>
            <w:vAlign w:val="center"/>
          </w:tcPr>
          <w:p w14:paraId="171BF321">
            <w:pPr>
              <w:widowControl/>
              <w:kinsoku/>
              <w:autoSpaceDE/>
              <w:autoSpaceDN/>
              <w:adjustRightInd/>
              <w:snapToGrid/>
              <w:spacing w:after="105"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实施“三公里”就业圈建设，建设“三公里”充分就业社区。</w:t>
            </w:r>
          </w:p>
        </w:tc>
        <w:tc>
          <w:tcPr>
            <w:tcW w:w="3762" w:type="dxa"/>
            <w:noWrap w:val="0"/>
            <w:vAlign w:val="center"/>
          </w:tcPr>
          <w:p w14:paraId="7B728853">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2022年，全区50%社区达到“三公里”充分就业社区标准；2025年，全区80%以上社区达到“三公里”充分就业社区标准。</w:t>
            </w:r>
          </w:p>
        </w:tc>
        <w:tc>
          <w:tcPr>
            <w:tcW w:w="2986" w:type="dxa"/>
            <w:noWrap w:val="0"/>
            <w:vAlign w:val="center"/>
          </w:tcPr>
          <w:p w14:paraId="2E6B4F61">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区人力资源和社会保障局牵头，区财政局及李楼乡、各街道按职责分工负责。</w:t>
            </w:r>
          </w:p>
        </w:tc>
      </w:tr>
      <w:tr w14:paraId="510599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975" w:hRule="atLeast"/>
          <w:jc w:val="center"/>
        </w:trPr>
        <w:tc>
          <w:tcPr>
            <w:tcW w:w="732" w:type="dxa"/>
            <w:noWrap w:val="0"/>
            <w:vAlign w:val="center"/>
          </w:tcPr>
          <w:p w14:paraId="1A56009A">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2"/>
                <w:sz w:val="24"/>
                <w:szCs w:val="24"/>
                <w:lang w:val="en-US" w:eastAsia="zh-CN" w:bidi="ar-SA"/>
              </w:rPr>
            </w:pPr>
            <w:r>
              <w:rPr>
                <w:rFonts w:hint="default" w:ascii="Times New Roman" w:hAnsi="Times New Roman" w:eastAsia="仿宋" w:cs="Times New Roman"/>
                <w:snapToGrid/>
                <w:kern w:val="0"/>
                <w:sz w:val="24"/>
                <w:szCs w:val="24"/>
                <w:lang w:val="en-US" w:eastAsia="zh-CN" w:bidi="ar-SA"/>
              </w:rPr>
              <w:t>2</w:t>
            </w:r>
          </w:p>
        </w:tc>
        <w:tc>
          <w:tcPr>
            <w:tcW w:w="1924" w:type="dxa"/>
            <w:noWrap w:val="0"/>
            <w:vAlign w:val="center"/>
          </w:tcPr>
          <w:p w14:paraId="712A4B0D">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举办特色招聘会，加强企业用工和劳动者求职服务。</w:t>
            </w:r>
          </w:p>
        </w:tc>
        <w:tc>
          <w:tcPr>
            <w:tcW w:w="3762" w:type="dxa"/>
            <w:noWrap w:val="0"/>
            <w:vAlign w:val="center"/>
          </w:tcPr>
          <w:p w14:paraId="3ADBD711">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年均开展招聘会不少于20场次，达成就业意向不少于200人次。</w:t>
            </w:r>
          </w:p>
        </w:tc>
        <w:tc>
          <w:tcPr>
            <w:tcW w:w="2986" w:type="dxa"/>
            <w:noWrap w:val="0"/>
            <w:vAlign w:val="center"/>
          </w:tcPr>
          <w:p w14:paraId="1CC03ED8">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区人力资源和社会保障局牵头，区教体局、区退役军人局、区总工会、团区委、区妇联、区残联、李楼乡、各街道等单位按职责分工负责。</w:t>
            </w:r>
          </w:p>
        </w:tc>
      </w:tr>
      <w:tr w14:paraId="362AC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975" w:hRule="atLeast"/>
          <w:jc w:val="center"/>
        </w:trPr>
        <w:tc>
          <w:tcPr>
            <w:tcW w:w="732" w:type="dxa"/>
            <w:noWrap w:val="0"/>
            <w:vAlign w:val="center"/>
          </w:tcPr>
          <w:p w14:paraId="290D0C4D">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2"/>
                <w:sz w:val="24"/>
                <w:szCs w:val="24"/>
                <w:lang w:val="en-US" w:eastAsia="zh-CN" w:bidi="ar-SA"/>
              </w:rPr>
            </w:pPr>
            <w:r>
              <w:rPr>
                <w:rFonts w:hint="default" w:ascii="Times New Roman" w:hAnsi="Times New Roman" w:eastAsia="仿宋" w:cs="Times New Roman"/>
                <w:snapToGrid/>
                <w:kern w:val="0"/>
                <w:sz w:val="24"/>
                <w:szCs w:val="24"/>
                <w:lang w:val="en-US" w:eastAsia="zh-CN" w:bidi="ar-SA"/>
              </w:rPr>
              <w:t>3</w:t>
            </w:r>
          </w:p>
        </w:tc>
        <w:tc>
          <w:tcPr>
            <w:tcW w:w="1924" w:type="dxa"/>
            <w:noWrap w:val="0"/>
            <w:vAlign w:val="center"/>
          </w:tcPr>
          <w:p w14:paraId="247D5AF3">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开发公益性岗位兜底安置。</w:t>
            </w:r>
          </w:p>
        </w:tc>
        <w:tc>
          <w:tcPr>
            <w:tcW w:w="3762" w:type="dxa"/>
            <w:noWrap w:val="0"/>
            <w:vAlign w:val="center"/>
          </w:tcPr>
          <w:p w14:paraId="070597DE">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每年开发公益性岗位500个。</w:t>
            </w:r>
          </w:p>
        </w:tc>
        <w:tc>
          <w:tcPr>
            <w:tcW w:w="2986" w:type="dxa"/>
            <w:noWrap w:val="0"/>
            <w:vAlign w:val="center"/>
          </w:tcPr>
          <w:p w14:paraId="51C50597">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区人力资源和社会保障局牵头，区民政局、区卫生健康委及李楼乡、各街道等按职责分工负责。</w:t>
            </w:r>
          </w:p>
        </w:tc>
      </w:tr>
      <w:tr w14:paraId="20449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1140" w:hRule="atLeast"/>
          <w:jc w:val="center"/>
        </w:trPr>
        <w:tc>
          <w:tcPr>
            <w:tcW w:w="732" w:type="dxa"/>
            <w:noWrap w:val="0"/>
            <w:vAlign w:val="center"/>
          </w:tcPr>
          <w:p w14:paraId="3AE0D355">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2"/>
                <w:sz w:val="24"/>
                <w:szCs w:val="24"/>
                <w:lang w:val="en-US" w:eastAsia="zh-CN" w:bidi="ar-SA"/>
              </w:rPr>
            </w:pPr>
            <w:r>
              <w:rPr>
                <w:rFonts w:hint="default" w:ascii="Times New Roman" w:hAnsi="Times New Roman" w:eastAsia="仿宋" w:cs="Times New Roman"/>
                <w:snapToGrid/>
                <w:kern w:val="0"/>
                <w:sz w:val="24"/>
                <w:szCs w:val="24"/>
                <w:lang w:val="en-US" w:eastAsia="zh-CN" w:bidi="ar-SA"/>
              </w:rPr>
              <w:t>4</w:t>
            </w:r>
          </w:p>
        </w:tc>
        <w:tc>
          <w:tcPr>
            <w:tcW w:w="1924" w:type="dxa"/>
            <w:noWrap w:val="0"/>
            <w:vAlign w:val="center"/>
          </w:tcPr>
          <w:p w14:paraId="5C0601B8">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加强未就业高校毕业生就业帮扶。</w:t>
            </w:r>
          </w:p>
        </w:tc>
        <w:tc>
          <w:tcPr>
            <w:tcW w:w="3762" w:type="dxa"/>
            <w:noWrap w:val="0"/>
            <w:vAlign w:val="center"/>
          </w:tcPr>
          <w:p w14:paraId="6B439664">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每年募集就业见习岗位不低于240个。2022年，开发200个就业见习岗位，安排未就业高校毕业生开展3—6个月就业见习、参与疫情防控等服务。</w:t>
            </w:r>
          </w:p>
        </w:tc>
        <w:tc>
          <w:tcPr>
            <w:tcW w:w="2986" w:type="dxa"/>
            <w:noWrap w:val="0"/>
            <w:vAlign w:val="center"/>
          </w:tcPr>
          <w:p w14:paraId="28FE0545">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区人力资源和社会保障局牵头，区教体局、区卫生健康委、团区委及李楼乡、各街道等按职责分工负责。</w:t>
            </w:r>
          </w:p>
        </w:tc>
      </w:tr>
      <w:tr w14:paraId="60FB85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1772" w:hRule="atLeast"/>
          <w:jc w:val="center"/>
        </w:trPr>
        <w:tc>
          <w:tcPr>
            <w:tcW w:w="732" w:type="dxa"/>
            <w:noWrap w:val="0"/>
            <w:vAlign w:val="center"/>
          </w:tcPr>
          <w:p w14:paraId="0FA637B5">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2"/>
                <w:sz w:val="24"/>
                <w:szCs w:val="24"/>
                <w:lang w:val="en-US" w:eastAsia="zh-CN" w:bidi="ar-SA"/>
              </w:rPr>
            </w:pPr>
            <w:r>
              <w:rPr>
                <w:rFonts w:hint="default" w:ascii="Times New Roman" w:hAnsi="Times New Roman" w:eastAsia="仿宋" w:cs="Times New Roman"/>
                <w:snapToGrid/>
                <w:kern w:val="0"/>
                <w:sz w:val="24"/>
                <w:szCs w:val="24"/>
                <w:lang w:val="en-US" w:eastAsia="zh-CN" w:bidi="ar-SA"/>
              </w:rPr>
              <w:t>5</w:t>
            </w:r>
          </w:p>
        </w:tc>
        <w:tc>
          <w:tcPr>
            <w:tcW w:w="1924" w:type="dxa"/>
            <w:noWrap w:val="0"/>
            <w:vAlign w:val="center"/>
          </w:tcPr>
          <w:p w14:paraId="4CD9810F">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促进农民工就业。</w:t>
            </w:r>
          </w:p>
        </w:tc>
        <w:tc>
          <w:tcPr>
            <w:tcW w:w="3762" w:type="dxa"/>
            <w:noWrap w:val="0"/>
            <w:vAlign w:val="center"/>
          </w:tcPr>
          <w:p w14:paraId="58D0322F">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为有需要的农民工免费提供1次职业指导、3个适合的岗位信息、1个培训项目，每年开展农民工职业技能培训1650人次以上。</w:t>
            </w:r>
          </w:p>
        </w:tc>
        <w:tc>
          <w:tcPr>
            <w:tcW w:w="2986" w:type="dxa"/>
            <w:noWrap w:val="0"/>
            <w:vAlign w:val="center"/>
          </w:tcPr>
          <w:p w14:paraId="372886C4">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区人力资源和社会保障局牵头，区农业农村局及李楼乡、各街道等按职责分工负责。</w:t>
            </w:r>
          </w:p>
        </w:tc>
      </w:tr>
      <w:tr w14:paraId="29039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1757" w:hRule="atLeast"/>
          <w:jc w:val="center"/>
        </w:trPr>
        <w:tc>
          <w:tcPr>
            <w:tcW w:w="732" w:type="dxa"/>
            <w:noWrap w:val="0"/>
            <w:vAlign w:val="center"/>
          </w:tcPr>
          <w:p w14:paraId="3EE589D8">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2"/>
                <w:sz w:val="24"/>
                <w:szCs w:val="24"/>
                <w:lang w:val="en-US" w:eastAsia="zh-CN" w:bidi="ar-SA"/>
              </w:rPr>
            </w:pPr>
            <w:r>
              <w:rPr>
                <w:rFonts w:hint="default" w:ascii="Times New Roman" w:hAnsi="Times New Roman" w:eastAsia="仿宋" w:cs="Times New Roman"/>
                <w:snapToGrid/>
                <w:kern w:val="0"/>
                <w:sz w:val="24"/>
                <w:szCs w:val="24"/>
                <w:lang w:val="en-US" w:eastAsia="zh-CN" w:bidi="ar-SA"/>
              </w:rPr>
              <w:t>6</w:t>
            </w:r>
          </w:p>
        </w:tc>
        <w:tc>
          <w:tcPr>
            <w:tcW w:w="1924" w:type="dxa"/>
            <w:noWrap w:val="0"/>
            <w:vAlign w:val="center"/>
          </w:tcPr>
          <w:p w14:paraId="47A5A52C">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推动退役军人高质量就业。</w:t>
            </w:r>
          </w:p>
        </w:tc>
        <w:tc>
          <w:tcPr>
            <w:tcW w:w="3762" w:type="dxa"/>
            <w:noWrap w:val="0"/>
            <w:vAlign w:val="center"/>
          </w:tcPr>
          <w:p w14:paraId="79675DD3">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组织开展退役军人就业服务月活动，举办专场招聘会，拓宽就业渠道，精准提供就业援助、职业技能培训等服务，促进退役军人高质量就业。</w:t>
            </w:r>
          </w:p>
        </w:tc>
        <w:tc>
          <w:tcPr>
            <w:tcW w:w="2986" w:type="dxa"/>
            <w:noWrap w:val="0"/>
            <w:vAlign w:val="center"/>
          </w:tcPr>
          <w:p w14:paraId="5F467664">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区退役军人局牵头，区</w:t>
            </w:r>
            <w:r>
              <w:rPr>
                <w:rFonts w:hint="eastAsia" w:ascii="Times New Roman" w:hAnsi="Times New Roman" w:eastAsia="方正仿宋_GBK" w:cs="Times New Roman"/>
                <w:snapToGrid/>
                <w:kern w:val="0"/>
                <w:sz w:val="24"/>
                <w:szCs w:val="24"/>
                <w:lang w:val="en-US" w:eastAsia="zh-CN" w:bidi="ar-SA"/>
              </w:rPr>
              <w:t>人力资源和社会保障局</w:t>
            </w:r>
            <w:r>
              <w:rPr>
                <w:rFonts w:hint="default" w:ascii="Times New Roman" w:hAnsi="Times New Roman" w:eastAsia="方正仿宋_GBK" w:cs="Times New Roman"/>
                <w:snapToGrid/>
                <w:kern w:val="0"/>
                <w:sz w:val="24"/>
                <w:szCs w:val="24"/>
                <w:lang w:val="en-US" w:eastAsia="zh-CN" w:bidi="ar-SA"/>
              </w:rPr>
              <w:t>配合。</w:t>
            </w:r>
          </w:p>
        </w:tc>
      </w:tr>
      <w:tr w14:paraId="558147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1841" w:hRule="atLeast"/>
          <w:jc w:val="center"/>
        </w:trPr>
        <w:tc>
          <w:tcPr>
            <w:tcW w:w="732" w:type="dxa"/>
            <w:noWrap w:val="0"/>
            <w:vAlign w:val="center"/>
          </w:tcPr>
          <w:p w14:paraId="73C8150E">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2"/>
                <w:sz w:val="24"/>
                <w:szCs w:val="24"/>
                <w:lang w:val="en-US" w:eastAsia="zh-CN" w:bidi="ar-SA"/>
              </w:rPr>
            </w:pPr>
            <w:r>
              <w:rPr>
                <w:rFonts w:hint="default" w:ascii="Times New Roman" w:hAnsi="Times New Roman" w:eastAsia="仿宋" w:cs="Times New Roman"/>
                <w:snapToGrid/>
                <w:kern w:val="0"/>
                <w:sz w:val="24"/>
                <w:szCs w:val="24"/>
                <w:lang w:val="en-US" w:eastAsia="zh-CN" w:bidi="ar-SA"/>
              </w:rPr>
              <w:t>7</w:t>
            </w:r>
          </w:p>
        </w:tc>
        <w:tc>
          <w:tcPr>
            <w:tcW w:w="1924" w:type="dxa"/>
            <w:noWrap w:val="0"/>
            <w:vAlign w:val="center"/>
          </w:tcPr>
          <w:p w14:paraId="2586EBF9">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建立重点企业“白名单”制度。</w:t>
            </w:r>
          </w:p>
        </w:tc>
        <w:tc>
          <w:tcPr>
            <w:tcW w:w="3762" w:type="dxa"/>
            <w:noWrap w:val="0"/>
            <w:vAlign w:val="center"/>
          </w:tcPr>
          <w:p w14:paraId="4620A55F">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2022年确定重点领域、重点行业、重点企业，建立重点企业“白名单”制度，落实重点企业用工“包保”责任制。</w:t>
            </w:r>
          </w:p>
        </w:tc>
        <w:tc>
          <w:tcPr>
            <w:tcW w:w="2986" w:type="dxa"/>
            <w:noWrap w:val="0"/>
            <w:vAlign w:val="center"/>
          </w:tcPr>
          <w:p w14:paraId="718E6F51">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区人力资源和社会保障局牵头，区发展改革委、区科技经信局、区商务外事局、李楼乡、各街道等按职责分工负责。</w:t>
            </w:r>
          </w:p>
        </w:tc>
      </w:tr>
      <w:tr w14:paraId="274530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921" w:hRule="atLeast"/>
          <w:jc w:val="center"/>
        </w:trPr>
        <w:tc>
          <w:tcPr>
            <w:tcW w:w="732" w:type="dxa"/>
            <w:noWrap w:val="0"/>
            <w:vAlign w:val="center"/>
          </w:tcPr>
          <w:p w14:paraId="705D6176">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8</w:t>
            </w:r>
          </w:p>
        </w:tc>
        <w:tc>
          <w:tcPr>
            <w:tcW w:w="1924" w:type="dxa"/>
            <w:noWrap w:val="0"/>
            <w:vAlign w:val="center"/>
          </w:tcPr>
          <w:p w14:paraId="5D2DFC11">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
              </w:rPr>
              <w:t>大力提高技能人才供给。</w:t>
            </w:r>
          </w:p>
        </w:tc>
        <w:tc>
          <w:tcPr>
            <w:tcW w:w="3762" w:type="dxa"/>
            <w:noWrap w:val="0"/>
            <w:vAlign w:val="center"/>
          </w:tcPr>
          <w:p w14:paraId="08397662">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
              </w:rPr>
              <w:t>每年新增技能人才600人。</w:t>
            </w:r>
          </w:p>
        </w:tc>
        <w:tc>
          <w:tcPr>
            <w:tcW w:w="2986" w:type="dxa"/>
            <w:noWrap w:val="0"/>
            <w:vAlign w:val="center"/>
          </w:tcPr>
          <w:p w14:paraId="341731D3">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
              </w:rPr>
              <w:t>区人力资源和社会保障局牵头。</w:t>
            </w:r>
          </w:p>
        </w:tc>
      </w:tr>
      <w:tr w14:paraId="7C0F34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1096" w:hRule="atLeast"/>
          <w:jc w:val="center"/>
        </w:trPr>
        <w:tc>
          <w:tcPr>
            <w:tcW w:w="732" w:type="dxa"/>
            <w:noWrap w:val="0"/>
            <w:vAlign w:val="center"/>
          </w:tcPr>
          <w:p w14:paraId="261469E7">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2"/>
                <w:sz w:val="24"/>
                <w:szCs w:val="24"/>
                <w:lang w:val="en-US" w:eastAsia="zh-CN" w:bidi="ar-SA"/>
              </w:rPr>
            </w:pPr>
            <w:r>
              <w:rPr>
                <w:rFonts w:hint="default" w:ascii="Times New Roman" w:hAnsi="Times New Roman" w:eastAsia="仿宋" w:cs="Times New Roman"/>
                <w:snapToGrid/>
                <w:kern w:val="0"/>
                <w:sz w:val="24"/>
                <w:szCs w:val="24"/>
                <w:lang w:val="en-US" w:eastAsia="zh-CN" w:bidi="ar-SA"/>
              </w:rPr>
              <w:t>9</w:t>
            </w:r>
          </w:p>
        </w:tc>
        <w:tc>
          <w:tcPr>
            <w:tcW w:w="1924" w:type="dxa"/>
            <w:noWrap w:val="0"/>
            <w:vAlign w:val="center"/>
          </w:tcPr>
          <w:p w14:paraId="5987E874">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建立劳动力资源协作联盟。</w:t>
            </w:r>
          </w:p>
        </w:tc>
        <w:tc>
          <w:tcPr>
            <w:tcW w:w="3762" w:type="dxa"/>
            <w:noWrap w:val="0"/>
            <w:vAlign w:val="center"/>
          </w:tcPr>
          <w:p w14:paraId="0C27F00D">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2022年底前建立全市劳动力资源协作联盟机制。</w:t>
            </w:r>
          </w:p>
        </w:tc>
        <w:tc>
          <w:tcPr>
            <w:tcW w:w="2986" w:type="dxa"/>
            <w:noWrap w:val="0"/>
            <w:vAlign w:val="center"/>
          </w:tcPr>
          <w:p w14:paraId="6CA4D310">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区人力资源和社会保障局牵头。</w:t>
            </w:r>
          </w:p>
        </w:tc>
      </w:tr>
      <w:tr w14:paraId="67119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15" w:type="dxa"/>
            <w:left w:w="15" w:type="dxa"/>
            <w:bottom w:w="15" w:type="dxa"/>
            <w:right w:w="15" w:type="dxa"/>
          </w:tblCellMar>
        </w:tblPrEx>
        <w:trPr>
          <w:trHeight w:val="1492" w:hRule="atLeast"/>
          <w:jc w:val="center"/>
        </w:trPr>
        <w:tc>
          <w:tcPr>
            <w:tcW w:w="732" w:type="dxa"/>
            <w:noWrap w:val="0"/>
            <w:vAlign w:val="center"/>
          </w:tcPr>
          <w:p w14:paraId="6578AE77">
            <w:pPr>
              <w:widowControl/>
              <w:kinsoku/>
              <w:autoSpaceDE/>
              <w:autoSpaceDN/>
              <w:adjustRightInd/>
              <w:snapToGrid/>
              <w:spacing w:line="360" w:lineRule="exact"/>
              <w:ind w:left="42" w:leftChars="20" w:right="42" w:rightChars="20"/>
              <w:jc w:val="center"/>
              <w:textAlignment w:val="center"/>
              <w:rPr>
                <w:rFonts w:hint="default" w:ascii="Times New Roman" w:hAnsi="Times New Roman" w:eastAsia="仿宋" w:cs="Times New Roman"/>
                <w:snapToGrid/>
                <w:kern w:val="2"/>
                <w:sz w:val="24"/>
                <w:szCs w:val="24"/>
                <w:lang w:val="en-US" w:eastAsia="zh-CN" w:bidi="ar-SA"/>
              </w:rPr>
            </w:pPr>
            <w:r>
              <w:rPr>
                <w:rFonts w:hint="default" w:ascii="Times New Roman" w:hAnsi="Times New Roman" w:eastAsia="仿宋" w:cs="Times New Roman"/>
                <w:snapToGrid/>
                <w:kern w:val="0"/>
                <w:sz w:val="24"/>
                <w:szCs w:val="24"/>
                <w:lang w:val="en-US" w:eastAsia="zh-CN" w:bidi="ar-SA"/>
              </w:rPr>
              <w:t>10</w:t>
            </w:r>
          </w:p>
        </w:tc>
        <w:tc>
          <w:tcPr>
            <w:tcW w:w="1924" w:type="dxa"/>
            <w:noWrap w:val="0"/>
            <w:vAlign w:val="center"/>
          </w:tcPr>
          <w:p w14:paraId="75752F1A">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开发基层服务岗位。</w:t>
            </w:r>
          </w:p>
        </w:tc>
        <w:tc>
          <w:tcPr>
            <w:tcW w:w="3762" w:type="dxa"/>
            <w:noWrap w:val="0"/>
            <w:vAlign w:val="center"/>
          </w:tcPr>
          <w:p w14:paraId="578F6204">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2022年，在街道（乡镇）、社区（行政村）开发疫情防控员、安全信息员等临时性专项岗位275个，安置有就业意愿的因疫等原因失业人员。</w:t>
            </w:r>
          </w:p>
        </w:tc>
        <w:tc>
          <w:tcPr>
            <w:tcW w:w="2986" w:type="dxa"/>
            <w:noWrap w:val="0"/>
            <w:vAlign w:val="center"/>
          </w:tcPr>
          <w:p w14:paraId="47743523">
            <w:pPr>
              <w:widowControl/>
              <w:kinsoku/>
              <w:autoSpaceDE/>
              <w:autoSpaceDN/>
              <w:adjustRightInd/>
              <w:snapToGrid/>
              <w:spacing w:line="360" w:lineRule="exact"/>
              <w:ind w:left="42" w:leftChars="20" w:right="42" w:rightChars="20"/>
              <w:jc w:val="both"/>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区人力资源和社会保障局牵头，李楼乡、各街道负责。</w:t>
            </w:r>
          </w:p>
        </w:tc>
      </w:tr>
    </w:tbl>
    <w:p w14:paraId="63033F93">
      <w:pPr>
        <w:widowControl w:val="0"/>
        <w:kinsoku/>
        <w:autoSpaceDE/>
        <w:autoSpaceDN/>
        <w:adjustRightInd/>
        <w:snapToGrid/>
        <w:spacing w:line="360" w:lineRule="exact"/>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附件2-2</w:t>
      </w:r>
    </w:p>
    <w:tbl>
      <w:tblPr>
        <w:tblStyle w:val="10"/>
        <w:tblpPr w:leftFromText="180" w:rightFromText="180" w:vertAnchor="text" w:horzAnchor="page" w:tblpX="2012" w:tblpY="601"/>
        <w:tblOverlap w:val="never"/>
        <w:tblW w:w="0" w:type="auto"/>
        <w:tblInd w:w="0" w:type="dxa"/>
        <w:tblLayout w:type="fixed"/>
        <w:tblCellMar>
          <w:top w:w="0" w:type="dxa"/>
          <w:left w:w="108" w:type="dxa"/>
          <w:bottom w:w="0" w:type="dxa"/>
          <w:right w:w="108" w:type="dxa"/>
        </w:tblCellMar>
      </w:tblPr>
      <w:tblGrid>
        <w:gridCol w:w="1254"/>
        <w:gridCol w:w="1205"/>
        <w:gridCol w:w="1481"/>
        <w:gridCol w:w="1270"/>
        <w:gridCol w:w="1200"/>
        <w:gridCol w:w="2272"/>
      </w:tblGrid>
      <w:tr w14:paraId="246C1E01">
        <w:tblPrEx>
          <w:tblCellMar>
            <w:top w:w="0" w:type="dxa"/>
            <w:left w:w="108" w:type="dxa"/>
            <w:bottom w:w="0" w:type="dxa"/>
            <w:right w:w="108" w:type="dxa"/>
          </w:tblCellMar>
        </w:tblPrEx>
        <w:trPr>
          <w:trHeight w:val="1000" w:hRule="atLeast"/>
        </w:trPr>
        <w:tc>
          <w:tcPr>
            <w:tcW w:w="8682" w:type="dxa"/>
            <w:gridSpan w:val="6"/>
            <w:tcBorders>
              <w:top w:val="nil"/>
              <w:left w:val="nil"/>
              <w:bottom w:val="nil"/>
              <w:right w:val="nil"/>
            </w:tcBorders>
            <w:noWrap/>
            <w:vAlign w:val="center"/>
          </w:tcPr>
          <w:p w14:paraId="6CC8C0A6">
            <w:pPr>
              <w:keepNext w:val="0"/>
              <w:keepLines w:val="0"/>
              <w:pageBreakBefore w:val="0"/>
              <w:widowControl/>
              <w:kinsoku/>
              <w:wordWrap/>
              <w:overflowPunct/>
              <w:topLinePunct w:val="0"/>
              <w:autoSpaceDE/>
              <w:autoSpaceDN/>
              <w:bidi w:val="0"/>
              <w:adjustRightInd/>
              <w:snapToGrid/>
              <w:spacing w:line="240" w:lineRule="atLeast"/>
              <w:jc w:val="center"/>
              <w:textAlignment w:val="center"/>
              <w:rPr>
                <w:rFonts w:hint="default" w:ascii="Times New Roman" w:hAnsi="Times New Roman" w:eastAsia="方正黑体_GBK" w:cs="Times New Roman"/>
                <w:snapToGrid/>
                <w:color w:val="000000"/>
                <w:kern w:val="0"/>
                <w:sz w:val="44"/>
                <w:szCs w:val="44"/>
                <w:lang w:val="en-US" w:eastAsia="zh-CN" w:bidi="ar"/>
              </w:rPr>
            </w:pPr>
            <w:r>
              <w:rPr>
                <w:rFonts w:hint="default" w:ascii="Times New Roman" w:hAnsi="Times New Roman" w:eastAsia="方正黑体_GBK" w:cs="Times New Roman"/>
                <w:snapToGrid/>
                <w:color w:val="000000"/>
                <w:kern w:val="0"/>
                <w:sz w:val="44"/>
                <w:szCs w:val="44"/>
                <w:lang w:val="en-US" w:eastAsia="zh-CN" w:bidi="ar"/>
              </w:rPr>
              <w:t>2022年就业促进行动目标任务分解表</w:t>
            </w:r>
          </w:p>
          <w:p w14:paraId="7AA01567">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cs="Times New Roman" w:eastAsiaTheme="minorEastAsia"/>
                <w:snapToGrid/>
                <w:color w:val="000000"/>
                <w:kern w:val="2"/>
                <w:sz w:val="44"/>
                <w:szCs w:val="44"/>
                <w:lang w:val="en-US" w:eastAsia="zh-CN" w:bidi="ar-SA"/>
              </w:rPr>
            </w:pPr>
            <w:r>
              <w:rPr>
                <w:rFonts w:hint="default" w:ascii="Times New Roman" w:hAnsi="Times New Roman" w:eastAsia="方正黑体_GBK" w:cs="Times New Roman"/>
                <w:snapToGrid/>
                <w:color w:val="000000"/>
                <w:kern w:val="0"/>
                <w:sz w:val="44"/>
                <w:szCs w:val="44"/>
                <w:lang w:val="en-US" w:eastAsia="zh-CN" w:bidi="ar"/>
              </w:rPr>
              <w:t>（暖民心工程）</w:t>
            </w:r>
          </w:p>
        </w:tc>
      </w:tr>
      <w:tr w14:paraId="57F04B53">
        <w:tblPrEx>
          <w:tblCellMar>
            <w:top w:w="0" w:type="dxa"/>
            <w:left w:w="108" w:type="dxa"/>
            <w:bottom w:w="0" w:type="dxa"/>
            <w:right w:w="108" w:type="dxa"/>
          </w:tblCellMar>
        </w:tblPrEx>
        <w:trPr>
          <w:trHeight w:val="340" w:hRule="atLeast"/>
        </w:trPr>
        <w:tc>
          <w:tcPr>
            <w:tcW w:w="8682" w:type="dxa"/>
            <w:gridSpan w:val="6"/>
            <w:tcBorders>
              <w:top w:val="nil"/>
              <w:left w:val="nil"/>
              <w:bottom w:val="nil"/>
              <w:right w:val="nil"/>
            </w:tcBorders>
            <w:noWrap w:val="0"/>
            <w:vAlign w:val="center"/>
          </w:tcPr>
          <w:p w14:paraId="61FF65DB">
            <w:pPr>
              <w:widowControl w:val="0"/>
              <w:kinsoku/>
              <w:autoSpaceDE/>
              <w:autoSpaceDN/>
              <w:adjustRightInd/>
              <w:snapToGrid/>
              <w:spacing w:line="240" w:lineRule="auto"/>
              <w:jc w:val="center"/>
              <w:textAlignment w:val="auto"/>
              <w:rPr>
                <w:rFonts w:hint="default" w:ascii="Times New Roman" w:hAnsi="Times New Roman" w:cs="Times New Roman" w:eastAsiaTheme="minorEastAsia"/>
                <w:snapToGrid/>
                <w:color w:val="000000"/>
                <w:kern w:val="2"/>
                <w:sz w:val="40"/>
                <w:szCs w:val="40"/>
                <w:lang w:val="en-US" w:eastAsia="zh-CN" w:bidi="ar-SA"/>
              </w:rPr>
            </w:pPr>
            <w:r>
              <w:rPr>
                <w:rFonts w:hint="default" w:ascii="Times New Roman" w:hAnsi="Times New Roman" w:eastAsia="方正仿宋_GBK" w:cs="Times New Roman"/>
                <w:snapToGrid/>
                <w:kern w:val="0"/>
                <w:sz w:val="24"/>
                <w:szCs w:val="24"/>
                <w:lang w:val="en-US" w:eastAsia="zh-CN" w:bidi="ar-SA"/>
              </w:rPr>
              <w:t>（以市里最终目标为准）</w:t>
            </w:r>
          </w:p>
        </w:tc>
      </w:tr>
      <w:tr w14:paraId="57B251B9">
        <w:tblPrEx>
          <w:tblCellMar>
            <w:top w:w="0" w:type="dxa"/>
            <w:left w:w="108" w:type="dxa"/>
            <w:bottom w:w="0" w:type="dxa"/>
            <w:right w:w="108" w:type="dxa"/>
          </w:tblCellMar>
        </w:tblPrEx>
        <w:trPr>
          <w:trHeight w:val="1220" w:hRule="atLeast"/>
        </w:trPr>
        <w:tc>
          <w:tcPr>
            <w:tcW w:w="1254" w:type="dxa"/>
            <w:tcBorders>
              <w:top w:val="single" w:color="000000" w:sz="4" w:space="0"/>
              <w:left w:val="single" w:color="000000" w:sz="4" w:space="0"/>
              <w:bottom w:val="single" w:color="000000" w:sz="4" w:space="0"/>
              <w:right w:val="single" w:color="000000" w:sz="4" w:space="0"/>
            </w:tcBorders>
            <w:noWrap/>
            <w:vAlign w:val="center"/>
          </w:tcPr>
          <w:p w14:paraId="2B9A3BFA">
            <w:pPr>
              <w:widowControl w:val="0"/>
              <w:kinsoku/>
              <w:autoSpaceDE/>
              <w:autoSpaceDN/>
              <w:adjustRightInd/>
              <w:snapToGrid/>
              <w:spacing w:line="240" w:lineRule="auto"/>
              <w:jc w:val="center"/>
              <w:textAlignment w:val="auto"/>
              <w:rPr>
                <w:rFonts w:hint="default" w:ascii="Times New Roman" w:hAnsi="Times New Roman" w:eastAsia="方正仿宋_GBK" w:cs="Times New Roman"/>
                <w:snapToGrid/>
                <w:color w:val="000000"/>
                <w:kern w:val="2"/>
                <w:sz w:val="24"/>
                <w:szCs w:val="24"/>
                <w:lang w:val="en-US" w:eastAsia="zh-CN" w:bidi="ar-SA"/>
              </w:rPr>
            </w:pPr>
          </w:p>
        </w:tc>
        <w:tc>
          <w:tcPr>
            <w:tcW w:w="1205" w:type="dxa"/>
            <w:tcBorders>
              <w:top w:val="single" w:color="000000" w:sz="4" w:space="0"/>
              <w:left w:val="single" w:color="000000" w:sz="4" w:space="0"/>
              <w:bottom w:val="single" w:color="000000" w:sz="4" w:space="0"/>
              <w:right w:val="single" w:color="000000" w:sz="4" w:space="0"/>
            </w:tcBorders>
            <w:noWrap/>
            <w:vAlign w:val="center"/>
          </w:tcPr>
          <w:p w14:paraId="7E58E5F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青年见习岗位数</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65AD56CB">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短期见习岗位数</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75529FE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公益性岗位数</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0860471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临时性专项岗位数</w:t>
            </w:r>
          </w:p>
        </w:tc>
        <w:tc>
          <w:tcPr>
            <w:tcW w:w="2272" w:type="dxa"/>
            <w:tcBorders>
              <w:top w:val="single" w:color="000000" w:sz="4" w:space="0"/>
              <w:left w:val="single" w:color="000000" w:sz="4" w:space="0"/>
              <w:bottom w:val="single" w:color="000000" w:sz="4" w:space="0"/>
              <w:right w:val="single" w:color="000000" w:sz="4" w:space="0"/>
            </w:tcBorders>
            <w:noWrap w:val="0"/>
            <w:vAlign w:val="center"/>
          </w:tcPr>
          <w:p w14:paraId="6D685558">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eastAsia"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创建三公里</w:t>
            </w:r>
          </w:p>
          <w:p w14:paraId="3D29F52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充分就业社区个数</w:t>
            </w:r>
          </w:p>
        </w:tc>
      </w:tr>
      <w:tr w14:paraId="48AAA8AE">
        <w:tblPrEx>
          <w:tblCellMar>
            <w:top w:w="0" w:type="dxa"/>
            <w:left w:w="108" w:type="dxa"/>
            <w:bottom w:w="0" w:type="dxa"/>
            <w:right w:w="108" w:type="dxa"/>
          </w:tblCellMar>
        </w:tblPrEx>
        <w:trPr>
          <w:trHeight w:val="760" w:hRule="atLeast"/>
        </w:trPr>
        <w:tc>
          <w:tcPr>
            <w:tcW w:w="1254" w:type="dxa"/>
            <w:tcBorders>
              <w:top w:val="single" w:color="000000" w:sz="4" w:space="0"/>
              <w:left w:val="single" w:color="000000" w:sz="4" w:space="0"/>
              <w:bottom w:val="single" w:color="000000" w:sz="4" w:space="0"/>
              <w:right w:val="single" w:color="000000" w:sz="4" w:space="0"/>
            </w:tcBorders>
            <w:noWrap/>
            <w:vAlign w:val="center"/>
          </w:tcPr>
          <w:p w14:paraId="627714CE">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全区</w:t>
            </w:r>
          </w:p>
        </w:tc>
        <w:tc>
          <w:tcPr>
            <w:tcW w:w="1205" w:type="dxa"/>
            <w:tcBorders>
              <w:top w:val="single" w:color="000000" w:sz="4" w:space="0"/>
              <w:left w:val="single" w:color="000000" w:sz="4" w:space="0"/>
              <w:bottom w:val="single" w:color="000000" w:sz="4" w:space="0"/>
              <w:right w:val="single" w:color="000000" w:sz="4" w:space="0"/>
            </w:tcBorders>
            <w:noWrap/>
            <w:vAlign w:val="center"/>
          </w:tcPr>
          <w:p w14:paraId="49FE870D">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300</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12BF45D2">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200</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1BD63C92">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500</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ACA3C0E">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275</w:t>
            </w:r>
          </w:p>
        </w:tc>
        <w:tc>
          <w:tcPr>
            <w:tcW w:w="2272" w:type="dxa"/>
            <w:tcBorders>
              <w:top w:val="single" w:color="000000" w:sz="4" w:space="0"/>
              <w:left w:val="single" w:color="000000" w:sz="4" w:space="0"/>
              <w:bottom w:val="single" w:color="000000" w:sz="4" w:space="0"/>
              <w:right w:val="single" w:color="000000" w:sz="4" w:space="0"/>
            </w:tcBorders>
            <w:noWrap/>
            <w:vAlign w:val="center"/>
          </w:tcPr>
          <w:p w14:paraId="723F4D2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不低于社区总数50%</w:t>
            </w:r>
          </w:p>
        </w:tc>
      </w:tr>
      <w:tr w14:paraId="045DF36B">
        <w:tblPrEx>
          <w:tblCellMar>
            <w:top w:w="0" w:type="dxa"/>
            <w:left w:w="108" w:type="dxa"/>
            <w:bottom w:w="0" w:type="dxa"/>
            <w:right w:w="108" w:type="dxa"/>
          </w:tblCellMar>
        </w:tblPrEx>
        <w:trPr>
          <w:trHeight w:val="760" w:hRule="atLeast"/>
        </w:trPr>
        <w:tc>
          <w:tcPr>
            <w:tcW w:w="1254" w:type="dxa"/>
            <w:tcBorders>
              <w:top w:val="single" w:color="000000" w:sz="4" w:space="0"/>
              <w:left w:val="single" w:color="000000" w:sz="4" w:space="0"/>
              <w:bottom w:val="single" w:color="000000" w:sz="4" w:space="0"/>
              <w:right w:val="single" w:color="000000" w:sz="4" w:space="0"/>
            </w:tcBorders>
            <w:noWrap/>
            <w:vAlign w:val="center"/>
          </w:tcPr>
          <w:p w14:paraId="4501E98F">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解放</w:t>
            </w:r>
          </w:p>
        </w:tc>
        <w:tc>
          <w:tcPr>
            <w:tcW w:w="1205" w:type="dxa"/>
            <w:tcBorders>
              <w:top w:val="single" w:color="000000" w:sz="4" w:space="0"/>
              <w:left w:val="single" w:color="000000" w:sz="4" w:space="0"/>
              <w:bottom w:val="single" w:color="000000" w:sz="4" w:space="0"/>
              <w:right w:val="single" w:color="000000" w:sz="4" w:space="0"/>
            </w:tcBorders>
            <w:noWrap/>
            <w:vAlign w:val="center"/>
          </w:tcPr>
          <w:p w14:paraId="45AC3951">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2"/>
                <w:sz w:val="24"/>
                <w:szCs w:val="24"/>
                <w:lang w:val="en-US" w:eastAsia="zh-CN" w:bidi="ar-SA"/>
              </w:rPr>
              <w:t>54</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5C4C5FEA">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35</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1238E990">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85</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59EEF53">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50</w:t>
            </w:r>
          </w:p>
        </w:tc>
        <w:tc>
          <w:tcPr>
            <w:tcW w:w="2272" w:type="dxa"/>
            <w:tcBorders>
              <w:top w:val="single" w:color="000000" w:sz="4" w:space="0"/>
              <w:left w:val="single" w:color="000000" w:sz="4" w:space="0"/>
              <w:bottom w:val="single" w:color="000000" w:sz="4" w:space="0"/>
              <w:right w:val="single" w:color="000000" w:sz="4" w:space="0"/>
            </w:tcBorders>
            <w:noWrap/>
            <w:vAlign w:val="center"/>
          </w:tcPr>
          <w:p w14:paraId="495F47E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不低于社区总数50%</w:t>
            </w:r>
          </w:p>
        </w:tc>
      </w:tr>
      <w:tr w14:paraId="023FCDC3">
        <w:tblPrEx>
          <w:tblCellMar>
            <w:top w:w="0" w:type="dxa"/>
            <w:left w:w="108" w:type="dxa"/>
            <w:bottom w:w="0" w:type="dxa"/>
            <w:right w:w="108" w:type="dxa"/>
          </w:tblCellMar>
        </w:tblPrEx>
        <w:trPr>
          <w:trHeight w:val="760" w:hRule="atLeast"/>
        </w:trPr>
        <w:tc>
          <w:tcPr>
            <w:tcW w:w="1254" w:type="dxa"/>
            <w:tcBorders>
              <w:top w:val="single" w:color="000000" w:sz="4" w:space="0"/>
              <w:left w:val="single" w:color="000000" w:sz="4" w:space="0"/>
              <w:bottom w:val="single" w:color="000000" w:sz="4" w:space="0"/>
              <w:right w:val="single" w:color="000000" w:sz="4" w:space="0"/>
            </w:tcBorders>
            <w:noWrap/>
            <w:vAlign w:val="center"/>
          </w:tcPr>
          <w:p w14:paraId="076EB5FE">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东升</w:t>
            </w:r>
          </w:p>
        </w:tc>
        <w:tc>
          <w:tcPr>
            <w:tcW w:w="1205" w:type="dxa"/>
            <w:tcBorders>
              <w:top w:val="single" w:color="000000" w:sz="4" w:space="0"/>
              <w:left w:val="single" w:color="000000" w:sz="4" w:space="0"/>
              <w:bottom w:val="single" w:color="000000" w:sz="4" w:space="0"/>
              <w:right w:val="single" w:color="000000" w:sz="4" w:space="0"/>
            </w:tcBorders>
            <w:noWrap/>
            <w:vAlign w:val="center"/>
          </w:tcPr>
          <w:p w14:paraId="21092895">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2"/>
                <w:sz w:val="24"/>
                <w:szCs w:val="24"/>
                <w:lang w:val="en-US" w:eastAsia="zh-CN" w:bidi="ar-SA"/>
              </w:rPr>
              <w:t>65</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414CBAF5">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40</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7E1C1D1D">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100</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1E16B004">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55</w:t>
            </w:r>
          </w:p>
        </w:tc>
        <w:tc>
          <w:tcPr>
            <w:tcW w:w="2272" w:type="dxa"/>
            <w:tcBorders>
              <w:top w:val="single" w:color="000000" w:sz="4" w:space="0"/>
              <w:left w:val="single" w:color="000000" w:sz="4" w:space="0"/>
              <w:bottom w:val="single" w:color="000000" w:sz="4" w:space="0"/>
              <w:right w:val="single" w:color="000000" w:sz="4" w:space="0"/>
            </w:tcBorders>
            <w:noWrap/>
            <w:vAlign w:val="center"/>
          </w:tcPr>
          <w:p w14:paraId="07A5DFC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不低于社区总数50%</w:t>
            </w:r>
          </w:p>
        </w:tc>
      </w:tr>
      <w:tr w14:paraId="1BE68F14">
        <w:tblPrEx>
          <w:tblCellMar>
            <w:top w:w="0" w:type="dxa"/>
            <w:left w:w="108" w:type="dxa"/>
            <w:bottom w:w="0" w:type="dxa"/>
            <w:right w:w="108" w:type="dxa"/>
          </w:tblCellMar>
        </w:tblPrEx>
        <w:trPr>
          <w:trHeight w:val="760" w:hRule="atLeast"/>
        </w:trPr>
        <w:tc>
          <w:tcPr>
            <w:tcW w:w="1254" w:type="dxa"/>
            <w:tcBorders>
              <w:top w:val="single" w:color="000000" w:sz="4" w:space="0"/>
              <w:left w:val="single" w:color="000000" w:sz="4" w:space="0"/>
              <w:bottom w:val="single" w:color="000000" w:sz="4" w:space="0"/>
              <w:right w:val="single" w:color="000000" w:sz="4" w:space="0"/>
            </w:tcBorders>
            <w:noWrap/>
            <w:vAlign w:val="center"/>
          </w:tcPr>
          <w:p w14:paraId="6A139CE4">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治淮</w:t>
            </w:r>
          </w:p>
        </w:tc>
        <w:tc>
          <w:tcPr>
            <w:tcW w:w="1205" w:type="dxa"/>
            <w:tcBorders>
              <w:top w:val="single" w:color="000000" w:sz="4" w:space="0"/>
              <w:left w:val="single" w:color="000000" w:sz="4" w:space="0"/>
              <w:bottom w:val="single" w:color="000000" w:sz="4" w:space="0"/>
              <w:right w:val="single" w:color="000000" w:sz="4" w:space="0"/>
            </w:tcBorders>
            <w:noWrap/>
            <w:vAlign w:val="center"/>
          </w:tcPr>
          <w:p w14:paraId="305AB098">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2"/>
                <w:sz w:val="24"/>
                <w:szCs w:val="24"/>
                <w:lang w:val="en-US" w:eastAsia="zh-CN" w:bidi="ar-SA"/>
              </w:rPr>
              <w:t>30</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4F398516">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20</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1DED7E8B">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60</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1EF8682">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30</w:t>
            </w:r>
          </w:p>
        </w:tc>
        <w:tc>
          <w:tcPr>
            <w:tcW w:w="2272" w:type="dxa"/>
            <w:tcBorders>
              <w:top w:val="single" w:color="000000" w:sz="4" w:space="0"/>
              <w:left w:val="single" w:color="000000" w:sz="4" w:space="0"/>
              <w:bottom w:val="single" w:color="000000" w:sz="4" w:space="0"/>
              <w:right w:val="single" w:color="000000" w:sz="4" w:space="0"/>
            </w:tcBorders>
            <w:noWrap/>
            <w:vAlign w:val="center"/>
          </w:tcPr>
          <w:p w14:paraId="2E7AD89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不低于社区总数50%</w:t>
            </w:r>
          </w:p>
        </w:tc>
      </w:tr>
      <w:tr w14:paraId="1D2F364E">
        <w:tblPrEx>
          <w:tblCellMar>
            <w:top w:w="0" w:type="dxa"/>
            <w:left w:w="108" w:type="dxa"/>
            <w:bottom w:w="0" w:type="dxa"/>
            <w:right w:w="108" w:type="dxa"/>
          </w:tblCellMar>
        </w:tblPrEx>
        <w:trPr>
          <w:trHeight w:val="760" w:hRule="atLeast"/>
        </w:trPr>
        <w:tc>
          <w:tcPr>
            <w:tcW w:w="1254" w:type="dxa"/>
            <w:tcBorders>
              <w:top w:val="single" w:color="000000" w:sz="4" w:space="0"/>
              <w:left w:val="single" w:color="000000" w:sz="4" w:space="0"/>
              <w:bottom w:val="single" w:color="000000" w:sz="4" w:space="0"/>
              <w:right w:val="single" w:color="000000" w:sz="4" w:space="0"/>
            </w:tcBorders>
            <w:noWrap/>
            <w:vAlign w:val="center"/>
          </w:tcPr>
          <w:p w14:paraId="5496EEDE">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东风</w:t>
            </w:r>
          </w:p>
        </w:tc>
        <w:tc>
          <w:tcPr>
            <w:tcW w:w="1205" w:type="dxa"/>
            <w:tcBorders>
              <w:top w:val="single" w:color="000000" w:sz="4" w:space="0"/>
              <w:left w:val="single" w:color="000000" w:sz="4" w:space="0"/>
              <w:bottom w:val="single" w:color="000000" w:sz="4" w:space="0"/>
              <w:right w:val="single" w:color="000000" w:sz="4" w:space="0"/>
            </w:tcBorders>
            <w:noWrap/>
            <w:vAlign w:val="center"/>
          </w:tcPr>
          <w:p w14:paraId="6AEA8D1E">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2"/>
                <w:sz w:val="24"/>
                <w:szCs w:val="24"/>
                <w:lang w:val="en-US" w:eastAsia="zh-CN" w:bidi="ar-SA"/>
              </w:rPr>
              <w:t>75</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1629ECC1">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50</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1F0B8423">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110</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69B64A19">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65</w:t>
            </w:r>
          </w:p>
        </w:tc>
        <w:tc>
          <w:tcPr>
            <w:tcW w:w="2272" w:type="dxa"/>
            <w:tcBorders>
              <w:top w:val="single" w:color="000000" w:sz="4" w:space="0"/>
              <w:left w:val="single" w:color="000000" w:sz="4" w:space="0"/>
              <w:bottom w:val="single" w:color="000000" w:sz="4" w:space="0"/>
              <w:right w:val="single" w:color="000000" w:sz="4" w:space="0"/>
            </w:tcBorders>
            <w:noWrap/>
            <w:vAlign w:val="center"/>
          </w:tcPr>
          <w:p w14:paraId="55C4F95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不低于社区总数50%</w:t>
            </w:r>
          </w:p>
        </w:tc>
      </w:tr>
      <w:tr w14:paraId="01ACB84D">
        <w:tblPrEx>
          <w:tblCellMar>
            <w:top w:w="0" w:type="dxa"/>
            <w:left w:w="108" w:type="dxa"/>
            <w:bottom w:w="0" w:type="dxa"/>
            <w:right w:w="108" w:type="dxa"/>
          </w:tblCellMar>
        </w:tblPrEx>
        <w:trPr>
          <w:trHeight w:val="760" w:hRule="atLeast"/>
        </w:trPr>
        <w:tc>
          <w:tcPr>
            <w:tcW w:w="1254" w:type="dxa"/>
            <w:tcBorders>
              <w:top w:val="single" w:color="000000" w:sz="4" w:space="0"/>
              <w:left w:val="single" w:color="000000" w:sz="4" w:space="0"/>
              <w:bottom w:val="single" w:color="000000" w:sz="4" w:space="0"/>
              <w:right w:val="single" w:color="000000" w:sz="4" w:space="0"/>
            </w:tcBorders>
            <w:noWrap/>
            <w:vAlign w:val="center"/>
          </w:tcPr>
          <w:p w14:paraId="526073DF">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曹山</w:t>
            </w:r>
          </w:p>
        </w:tc>
        <w:tc>
          <w:tcPr>
            <w:tcW w:w="1205" w:type="dxa"/>
            <w:tcBorders>
              <w:top w:val="single" w:color="000000" w:sz="4" w:space="0"/>
              <w:left w:val="single" w:color="000000" w:sz="4" w:space="0"/>
              <w:bottom w:val="single" w:color="000000" w:sz="4" w:space="0"/>
              <w:right w:val="single" w:color="000000" w:sz="4" w:space="0"/>
            </w:tcBorders>
            <w:noWrap/>
            <w:vAlign w:val="center"/>
          </w:tcPr>
          <w:p w14:paraId="1A51D094">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2"/>
                <w:sz w:val="24"/>
                <w:szCs w:val="24"/>
                <w:lang w:val="en-US" w:eastAsia="zh-CN" w:bidi="ar-SA"/>
              </w:rPr>
              <w:t>30</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4C3B6A7A">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20</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00288650">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60</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B45E31F">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30</w:t>
            </w:r>
          </w:p>
        </w:tc>
        <w:tc>
          <w:tcPr>
            <w:tcW w:w="2272" w:type="dxa"/>
            <w:tcBorders>
              <w:top w:val="single" w:color="000000" w:sz="4" w:space="0"/>
              <w:left w:val="single" w:color="000000" w:sz="4" w:space="0"/>
              <w:bottom w:val="single" w:color="000000" w:sz="4" w:space="0"/>
              <w:right w:val="single" w:color="000000" w:sz="4" w:space="0"/>
            </w:tcBorders>
            <w:noWrap/>
            <w:vAlign w:val="center"/>
          </w:tcPr>
          <w:p w14:paraId="7D460F9B">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不低于社区总数50%</w:t>
            </w:r>
          </w:p>
        </w:tc>
      </w:tr>
      <w:tr w14:paraId="2662043A">
        <w:tblPrEx>
          <w:tblCellMar>
            <w:top w:w="0" w:type="dxa"/>
            <w:left w:w="108" w:type="dxa"/>
            <w:bottom w:w="0" w:type="dxa"/>
            <w:right w:w="108" w:type="dxa"/>
          </w:tblCellMar>
        </w:tblPrEx>
        <w:trPr>
          <w:trHeight w:val="760" w:hRule="atLeast"/>
        </w:trPr>
        <w:tc>
          <w:tcPr>
            <w:tcW w:w="1254" w:type="dxa"/>
            <w:tcBorders>
              <w:top w:val="single" w:color="000000" w:sz="4" w:space="0"/>
              <w:left w:val="single" w:color="000000" w:sz="4" w:space="0"/>
              <w:bottom w:val="single" w:color="000000" w:sz="4" w:space="0"/>
              <w:right w:val="single" w:color="000000" w:sz="4" w:space="0"/>
            </w:tcBorders>
            <w:noWrap/>
            <w:vAlign w:val="center"/>
          </w:tcPr>
          <w:p w14:paraId="4301A7E7">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延安</w:t>
            </w:r>
          </w:p>
        </w:tc>
        <w:tc>
          <w:tcPr>
            <w:tcW w:w="1205" w:type="dxa"/>
            <w:tcBorders>
              <w:top w:val="single" w:color="000000" w:sz="4" w:space="0"/>
              <w:left w:val="single" w:color="000000" w:sz="4" w:space="0"/>
              <w:bottom w:val="single" w:color="000000" w:sz="4" w:space="0"/>
              <w:right w:val="single" w:color="000000" w:sz="4" w:space="0"/>
            </w:tcBorders>
            <w:noWrap/>
            <w:vAlign w:val="center"/>
          </w:tcPr>
          <w:p w14:paraId="00B8C520">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2"/>
                <w:sz w:val="24"/>
                <w:szCs w:val="24"/>
                <w:lang w:val="en-US" w:eastAsia="zh-CN" w:bidi="ar-SA"/>
              </w:rPr>
              <w:t>36</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11E31FEB">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25</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472E5EAE">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65</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4456D819">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35</w:t>
            </w:r>
          </w:p>
        </w:tc>
        <w:tc>
          <w:tcPr>
            <w:tcW w:w="2272" w:type="dxa"/>
            <w:tcBorders>
              <w:top w:val="single" w:color="000000" w:sz="4" w:space="0"/>
              <w:left w:val="single" w:color="000000" w:sz="4" w:space="0"/>
              <w:bottom w:val="single" w:color="000000" w:sz="4" w:space="0"/>
              <w:right w:val="single" w:color="000000" w:sz="4" w:space="0"/>
            </w:tcBorders>
            <w:noWrap/>
            <w:vAlign w:val="center"/>
          </w:tcPr>
          <w:p w14:paraId="72FC7B93">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不低于社区总数50%</w:t>
            </w:r>
          </w:p>
        </w:tc>
      </w:tr>
      <w:tr w14:paraId="1CC3BED1">
        <w:tblPrEx>
          <w:tblCellMar>
            <w:top w:w="0" w:type="dxa"/>
            <w:left w:w="108" w:type="dxa"/>
            <w:bottom w:w="0" w:type="dxa"/>
            <w:right w:w="108" w:type="dxa"/>
          </w:tblCellMar>
        </w:tblPrEx>
        <w:trPr>
          <w:trHeight w:val="760" w:hRule="atLeast"/>
        </w:trPr>
        <w:tc>
          <w:tcPr>
            <w:tcW w:w="1254" w:type="dxa"/>
            <w:tcBorders>
              <w:top w:val="single" w:color="000000" w:sz="4" w:space="0"/>
              <w:left w:val="single" w:color="000000" w:sz="4" w:space="0"/>
              <w:bottom w:val="single" w:color="000000" w:sz="4" w:space="0"/>
              <w:right w:val="single" w:color="000000" w:sz="4" w:space="0"/>
            </w:tcBorders>
            <w:noWrap/>
            <w:vAlign w:val="center"/>
          </w:tcPr>
          <w:p w14:paraId="197C7647">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李楼</w:t>
            </w:r>
          </w:p>
        </w:tc>
        <w:tc>
          <w:tcPr>
            <w:tcW w:w="1205" w:type="dxa"/>
            <w:tcBorders>
              <w:top w:val="single" w:color="000000" w:sz="4" w:space="0"/>
              <w:left w:val="single" w:color="000000" w:sz="4" w:space="0"/>
              <w:bottom w:val="single" w:color="000000" w:sz="4" w:space="0"/>
              <w:right w:val="single" w:color="000000" w:sz="4" w:space="0"/>
            </w:tcBorders>
            <w:noWrap/>
            <w:vAlign w:val="center"/>
          </w:tcPr>
          <w:p w14:paraId="193188BB">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10</w:t>
            </w:r>
          </w:p>
        </w:tc>
        <w:tc>
          <w:tcPr>
            <w:tcW w:w="1481" w:type="dxa"/>
            <w:tcBorders>
              <w:top w:val="single" w:color="000000" w:sz="4" w:space="0"/>
              <w:left w:val="single" w:color="000000" w:sz="4" w:space="0"/>
              <w:bottom w:val="single" w:color="000000" w:sz="4" w:space="0"/>
              <w:right w:val="single" w:color="000000" w:sz="4" w:space="0"/>
            </w:tcBorders>
            <w:noWrap/>
            <w:vAlign w:val="center"/>
          </w:tcPr>
          <w:p w14:paraId="0B866372">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10</w:t>
            </w:r>
          </w:p>
        </w:tc>
        <w:tc>
          <w:tcPr>
            <w:tcW w:w="1270" w:type="dxa"/>
            <w:tcBorders>
              <w:top w:val="single" w:color="000000" w:sz="4" w:space="0"/>
              <w:left w:val="single" w:color="000000" w:sz="4" w:space="0"/>
              <w:bottom w:val="single" w:color="000000" w:sz="4" w:space="0"/>
              <w:right w:val="single" w:color="000000" w:sz="4" w:space="0"/>
            </w:tcBorders>
            <w:noWrap/>
            <w:vAlign w:val="center"/>
          </w:tcPr>
          <w:p w14:paraId="6B26332A">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20</w:t>
            </w:r>
          </w:p>
        </w:tc>
        <w:tc>
          <w:tcPr>
            <w:tcW w:w="1200" w:type="dxa"/>
            <w:tcBorders>
              <w:top w:val="single" w:color="000000" w:sz="4" w:space="0"/>
              <w:left w:val="single" w:color="000000" w:sz="4" w:space="0"/>
              <w:bottom w:val="single" w:color="000000" w:sz="4" w:space="0"/>
              <w:right w:val="single" w:color="000000" w:sz="4" w:space="0"/>
            </w:tcBorders>
            <w:noWrap/>
            <w:vAlign w:val="center"/>
          </w:tcPr>
          <w:p w14:paraId="5F0B2631">
            <w:pPr>
              <w:widowControl/>
              <w:kinsoku/>
              <w:autoSpaceDE/>
              <w:autoSpaceDN/>
              <w:adjustRightInd/>
              <w:snapToGrid/>
              <w:spacing w:line="240" w:lineRule="auto"/>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10</w:t>
            </w:r>
          </w:p>
        </w:tc>
        <w:tc>
          <w:tcPr>
            <w:tcW w:w="2272" w:type="dxa"/>
            <w:tcBorders>
              <w:top w:val="single" w:color="000000" w:sz="4" w:space="0"/>
              <w:left w:val="single" w:color="000000" w:sz="4" w:space="0"/>
              <w:bottom w:val="single" w:color="000000" w:sz="4" w:space="0"/>
              <w:right w:val="single" w:color="000000" w:sz="4" w:space="0"/>
            </w:tcBorders>
            <w:noWrap/>
            <w:vAlign w:val="center"/>
          </w:tcPr>
          <w:p w14:paraId="3B62F152">
            <w:pPr>
              <w:widowControl w:val="0"/>
              <w:kinsoku/>
              <w:autoSpaceDE/>
              <w:autoSpaceDN/>
              <w:adjustRightInd/>
              <w:snapToGrid/>
              <w:spacing w:line="240" w:lineRule="auto"/>
              <w:jc w:val="center"/>
              <w:textAlignment w:val="auto"/>
              <w:rPr>
                <w:rFonts w:hint="default" w:ascii="Times New Roman" w:hAnsi="Times New Roman" w:eastAsia="方正仿宋_GBK" w:cs="Times New Roman"/>
                <w:snapToGrid/>
                <w:color w:val="000000"/>
                <w:kern w:val="2"/>
                <w:sz w:val="24"/>
                <w:szCs w:val="24"/>
                <w:lang w:val="en-US" w:eastAsia="zh-CN" w:bidi="ar-SA"/>
              </w:rPr>
            </w:pPr>
          </w:p>
        </w:tc>
      </w:tr>
    </w:tbl>
    <w:p w14:paraId="2470D27F">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b/>
          <w:bCs/>
          <w:snapToGrid/>
          <w:kern w:val="0"/>
          <w:sz w:val="32"/>
          <w:szCs w:val="32"/>
          <w:shd w:val="clear" w:color="auto" w:fill="FFFFFF"/>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p>
    <w:p w14:paraId="3A7CFE5F">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left"/>
        <w:textAlignment w:val="auto"/>
        <w:rPr>
          <w:rFonts w:hint="default" w:ascii="Times New Roman" w:hAnsi="Times New Roman" w:eastAsia="方正黑体_GBK" w:cs="Times New Roman"/>
          <w:snapToGrid/>
          <w:color w:val="000000"/>
          <w:kern w:val="0"/>
          <w:sz w:val="32"/>
          <w:szCs w:val="32"/>
          <w:lang w:val="en-US" w:eastAsia="zh-CN" w:bidi="ar-SA"/>
        </w:rPr>
      </w:pPr>
      <w:r>
        <w:rPr>
          <w:rFonts w:hint="default" w:ascii="Times New Roman" w:hAnsi="Times New Roman" w:eastAsia="方正黑体_GBK" w:cs="Times New Roman"/>
          <w:snapToGrid/>
          <w:color w:val="000000"/>
          <w:kern w:val="0"/>
          <w:sz w:val="32"/>
          <w:szCs w:val="32"/>
          <w:lang w:val="en-US" w:eastAsia="zh-CN" w:bidi="ar-SA"/>
        </w:rPr>
        <w:t>附件3</w:t>
      </w:r>
    </w:p>
    <w:p w14:paraId="20A3DF8F">
      <w:pPr>
        <w:keepNext w:val="0"/>
        <w:keepLines w:val="0"/>
        <w:pageBreakBefore w:val="0"/>
        <w:widowControl w:val="0"/>
        <w:kinsoku/>
        <w:wordWrap/>
        <w:overflowPunct/>
        <w:topLinePunct w:val="0"/>
        <w:autoSpaceDE/>
        <w:autoSpaceDN/>
        <w:bidi w:val="0"/>
        <w:spacing w:line="590" w:lineRule="exact"/>
        <w:ind w:left="111" w:firstLine="420" w:firstLineChars="200"/>
        <w:jc w:val="both"/>
        <w:textAlignment w:val="auto"/>
        <w:rPr>
          <w:rFonts w:hint="default" w:ascii="Times New Roman" w:hAnsi="Times New Roman" w:cs="Times New Roman" w:eastAsiaTheme="minorEastAsia"/>
          <w:kern w:val="2"/>
          <w:sz w:val="21"/>
          <w:szCs w:val="20"/>
          <w:lang w:val="en-US" w:eastAsia="zh-CN" w:bidi="ar-SA"/>
        </w:rPr>
      </w:pPr>
    </w:p>
    <w:p w14:paraId="6C14C8AD">
      <w:pPr>
        <w:keepNext w:val="0"/>
        <w:keepLines w:val="0"/>
        <w:pageBreakBefore w:val="0"/>
        <w:widowControl w:val="0"/>
        <w:kinsoku/>
        <w:wordWrap/>
        <w:overflowPunct/>
        <w:topLinePunct w:val="0"/>
        <w:autoSpaceDE/>
        <w:autoSpaceDN/>
        <w:bidi w:val="0"/>
        <w:adjustRightInd w:val="0"/>
        <w:snapToGrid w:val="0"/>
        <w:spacing w:after="0" w:line="590" w:lineRule="exact"/>
        <w:ind w:left="0" w:leftChars="0" w:firstLine="880" w:firstLineChars="200"/>
        <w:jc w:val="both"/>
        <w:textAlignment w:val="auto"/>
        <w:rPr>
          <w:rFonts w:hint="default" w:ascii="Times New Roman" w:hAnsi="Times New Roman" w:eastAsia="方正黑体_GBK" w:cs="Times New Roman"/>
          <w:color w:val="000000"/>
          <w:kern w:val="0"/>
          <w:sz w:val="44"/>
          <w:szCs w:val="44"/>
          <w:lang w:val="en-US" w:eastAsia="zh-CN" w:bidi="ar-SA"/>
        </w:rPr>
      </w:pPr>
      <w:r>
        <w:rPr>
          <w:rFonts w:hint="default" w:ascii="Times New Roman" w:hAnsi="Times New Roman" w:eastAsia="方正黑体_GBK" w:cs="Times New Roman"/>
          <w:color w:val="000000"/>
          <w:kern w:val="0"/>
          <w:sz w:val="44"/>
          <w:szCs w:val="44"/>
          <w:lang w:val="en-US" w:eastAsia="zh-CN" w:bidi="ar-SA"/>
        </w:rPr>
        <w:t>龙子湖区“新徽菜·名徽厨”行动方案</w:t>
      </w:r>
    </w:p>
    <w:p w14:paraId="423C906D">
      <w:pPr>
        <w:widowControl w:val="0"/>
        <w:snapToGrid w:val="0"/>
        <w:jc w:val="left"/>
        <w:rPr>
          <w:rFonts w:hint="default" w:ascii="Times New Roman" w:hAnsi="Times New Roman" w:cs="Times New Roman" w:eastAsiaTheme="minorEastAsia"/>
          <w:kern w:val="2"/>
          <w:sz w:val="32"/>
          <w:szCs w:val="32"/>
          <w:lang w:val="en-US" w:eastAsia="zh-CN" w:bidi="ar-SA"/>
        </w:rPr>
      </w:pPr>
    </w:p>
    <w:p w14:paraId="5D035832">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黑体" w:cs="Times New Roman"/>
          <w:snapToGrid/>
          <w:color w:val="000000"/>
          <w:kern w:val="0"/>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为加快推进“新徽菜·名徽厨”暖民心行动落到实处，全面推动“食新徽菜 品古文化”美食+旅游宣传工作做深做实，提升徽菜烹饪技能水平；引导辖区城镇失业人员等就业重点群体及灵活就业劳动者通过掌握“一技之长”成为徽菜师傅，实现更好就业创业；打造徽菜餐饮文化品牌，扩大龙子湖“新徽菜•名徽厨”影响力，经研究制定以下行动方案。</w:t>
      </w:r>
    </w:p>
    <w:p w14:paraId="2B87DEC8">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黑体_GBK" w:cs="Times New Roman"/>
          <w:snapToGrid/>
          <w:color w:val="000000"/>
          <w:kern w:val="0"/>
          <w:sz w:val="32"/>
          <w:szCs w:val="32"/>
          <w:lang w:val="en-US" w:eastAsia="zh-CN" w:bidi="ar-SA"/>
        </w:rPr>
      </w:pPr>
      <w:r>
        <w:rPr>
          <w:rFonts w:hint="default" w:ascii="Times New Roman" w:hAnsi="Times New Roman" w:eastAsia="方正黑体_GBK" w:cs="Times New Roman"/>
          <w:snapToGrid/>
          <w:color w:val="000000"/>
          <w:kern w:val="0"/>
          <w:sz w:val="32"/>
          <w:szCs w:val="32"/>
          <w:lang w:val="en-US" w:eastAsia="zh-CN" w:bidi="ar-SA"/>
        </w:rPr>
        <w:t>一、目标任务</w:t>
      </w:r>
    </w:p>
    <w:p w14:paraId="69DF4728">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eastAsia" w:ascii="Times New Roman" w:hAnsi="Times New Roman" w:eastAsia="方正楷体_GBK" w:cs="Times New Roman"/>
          <w:b w:val="0"/>
          <w:bCs w:val="0"/>
          <w:snapToGrid/>
          <w:color w:val="000000"/>
          <w:kern w:val="0"/>
          <w:sz w:val="32"/>
          <w:szCs w:val="32"/>
          <w:lang w:val="en-US" w:eastAsia="zh-CN" w:bidi="ar-SA"/>
        </w:rPr>
        <w:t>（一）</w:t>
      </w:r>
      <w:r>
        <w:rPr>
          <w:rFonts w:hint="default" w:ascii="Times New Roman" w:hAnsi="Times New Roman" w:eastAsia="方正楷体_GBK" w:cs="Times New Roman"/>
          <w:b w:val="0"/>
          <w:bCs w:val="0"/>
          <w:snapToGrid/>
          <w:color w:val="000000"/>
          <w:kern w:val="0"/>
          <w:sz w:val="32"/>
          <w:szCs w:val="32"/>
          <w:lang w:val="en-US" w:eastAsia="zh-CN" w:bidi="ar-SA"/>
        </w:rPr>
        <w:t>总体目标</w:t>
      </w:r>
    </w:p>
    <w:p w14:paraId="123538D7">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聚焦提升徽菜烹饪技能水平,开展徽菜师傅职业技能培训;聚焦促进徽菜餐饮产业发展,优化徽菜师傅就业创业服务;聚焦打造徽菜美食文化品牌,推动徽菜内涵拓展升级,将“新徽菜”打造成为龙子湖美食文化的特色“名片”,让千家万户在一日三餐里品味徽菜美食,让广大徽厨在烟火气息里创造滋味生活,让徽菜品牌在传承创新中发扬光大。</w:t>
      </w:r>
    </w:p>
    <w:p w14:paraId="4C360C0D">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eastAsia" w:ascii="Times New Roman" w:hAnsi="Times New Roman" w:eastAsia="方正楷体_GBK" w:cs="Times New Roman"/>
          <w:b w:val="0"/>
          <w:bCs w:val="0"/>
          <w:snapToGrid/>
          <w:color w:val="000000"/>
          <w:kern w:val="0"/>
          <w:sz w:val="32"/>
          <w:szCs w:val="32"/>
          <w:lang w:val="en-US" w:eastAsia="zh-CN" w:bidi="ar-SA"/>
        </w:rPr>
        <w:t>（二）</w:t>
      </w:r>
      <w:r>
        <w:rPr>
          <w:rFonts w:hint="default" w:ascii="Times New Roman" w:hAnsi="Times New Roman" w:eastAsia="方正楷体_GBK" w:cs="Times New Roman"/>
          <w:b w:val="0"/>
          <w:bCs w:val="0"/>
          <w:snapToGrid/>
          <w:color w:val="000000"/>
          <w:kern w:val="0"/>
          <w:sz w:val="32"/>
          <w:szCs w:val="32"/>
          <w:lang w:val="en-US" w:eastAsia="zh-CN" w:bidi="ar-SA"/>
        </w:rPr>
        <w:t>具体任务</w:t>
      </w:r>
    </w:p>
    <w:p w14:paraId="5E3DA191">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1.2022年，开发1条以美食为主题的旅游线路，培育1个市级特色美食村，打造1个省级特色美食体验街区，策划和组织1场特色专场招聘活动；开展徽菜师傅技能培训不少于70人次；积极推荐徽菜厨师参加全省“徽菜名厨”评选，推介烹饪制作技能技艺，讲好徽菜师傅就业创业故事。</w:t>
      </w:r>
    </w:p>
    <w:p w14:paraId="0E5030B7">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2.2023年，累计开展徽菜师傅技能培训不少于150人次；深化“新徽菜·名徽厨”暖民心行动宣传，培树知名品牌。</w:t>
      </w:r>
    </w:p>
    <w:p w14:paraId="3B56F172">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3.力争到2025年底，推出1条省级、1条市级特色美食旅游线路，打造1个省级、2个市级特色美食村；开展徽菜制作技能培训不少于320人次，新增徽菜师傅不低于240人,其中高级工以上高技能人才不低于30%；新增徽菜连锁企业3家,新增徽菜餐饮连锁店6家,支持徽菜师傅创业和带动徽菜等餐饮企业就业1000人。</w:t>
      </w:r>
    </w:p>
    <w:p w14:paraId="1129E54B">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黑体_GBK" w:cs="Times New Roman"/>
          <w:snapToGrid/>
          <w:color w:val="000000"/>
          <w:kern w:val="0"/>
          <w:sz w:val="32"/>
          <w:szCs w:val="32"/>
          <w:lang w:val="en-US" w:eastAsia="zh-CN" w:bidi="ar-SA"/>
        </w:rPr>
      </w:pPr>
      <w:r>
        <w:rPr>
          <w:rFonts w:hint="default" w:ascii="Times New Roman" w:hAnsi="Times New Roman" w:eastAsia="方正黑体_GBK" w:cs="Times New Roman"/>
          <w:snapToGrid/>
          <w:color w:val="000000"/>
          <w:kern w:val="0"/>
          <w:sz w:val="32"/>
          <w:szCs w:val="32"/>
          <w:lang w:val="en-US" w:eastAsia="zh-CN" w:bidi="ar-SA"/>
        </w:rPr>
        <w:t>二、工作措施</w:t>
      </w:r>
    </w:p>
    <w:p w14:paraId="68B3113B">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eastAsia" w:ascii="Times New Roman" w:hAnsi="Times New Roman" w:eastAsia="方正楷体_GBK" w:cs="Times New Roman"/>
          <w:b w:val="0"/>
          <w:bCs w:val="0"/>
          <w:snapToGrid/>
          <w:color w:val="000000"/>
          <w:kern w:val="0"/>
          <w:sz w:val="32"/>
          <w:szCs w:val="32"/>
          <w:lang w:val="en-US" w:eastAsia="zh-CN" w:bidi="ar-SA"/>
        </w:rPr>
        <w:t>（一）</w:t>
      </w:r>
      <w:r>
        <w:rPr>
          <w:rFonts w:hint="default" w:ascii="Times New Roman" w:hAnsi="Times New Roman" w:eastAsia="方正楷体_GBK" w:cs="Times New Roman"/>
          <w:b w:val="0"/>
          <w:bCs w:val="0"/>
          <w:snapToGrid/>
          <w:color w:val="000000"/>
          <w:kern w:val="0"/>
          <w:sz w:val="32"/>
          <w:szCs w:val="32"/>
          <w:lang w:val="en-US" w:eastAsia="zh-CN" w:bidi="ar-SA"/>
        </w:rPr>
        <w:t>加强徽菜师傅职业技能培训</w:t>
      </w:r>
    </w:p>
    <w:p w14:paraId="492628B4">
      <w:pPr>
        <w:keepNext w:val="0"/>
        <w:keepLines w:val="0"/>
        <w:pageBreakBefore w:val="0"/>
        <w:widowControl/>
        <w:kinsoku/>
        <w:wordWrap/>
        <w:overflowPunct/>
        <w:topLinePunct w:val="0"/>
        <w:autoSpaceDE/>
        <w:autoSpaceDN/>
        <w:bidi w:val="0"/>
        <w:adjustRightInd w:val="0"/>
        <w:snapToGrid w:val="0"/>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1.开展精准职业技能培训。</w:t>
      </w:r>
      <w:r>
        <w:rPr>
          <w:rFonts w:hint="default" w:ascii="Times New Roman" w:hAnsi="Times New Roman" w:eastAsia="方正仿宋_GBK" w:cs="Times New Roman"/>
          <w:snapToGrid/>
          <w:kern w:val="2"/>
          <w:sz w:val="32"/>
          <w:szCs w:val="32"/>
          <w:lang w:val="en-US" w:eastAsia="zh-CN" w:bidi="ar-SA"/>
        </w:rPr>
        <w:t>面向城镇失业人员、就业困难人员等重点就业群体及灵活就业劳动者,开展徽菜师傅就业技能培训,引导更多劳动者从事徽菜餐饮服务,让徽菜师傅“铺天盖地”;面向餐饮企业新入职徽菜师傅,开展企业新录用人员岗前技能培训,鼓励徽菜师傅参加职业技能等级认定，着力提高现有徽菜师傅技能等级水平,让“徽菜名厨”“顶天立地”。结合地域特色、饮食习俗、产业业态等因素,梳理群众认可度高、就业创业带动性强、代表本地饮食文化特色的地方名特小吃品种,遴选推荐徽菜师傅培训项目。（区人社局、区商务和外事局、区文旅局等依职责开展）</w:t>
      </w:r>
    </w:p>
    <w:p w14:paraId="3E932928">
      <w:pPr>
        <w:keepNext w:val="0"/>
        <w:keepLines w:val="0"/>
        <w:pageBreakBefore w:val="0"/>
        <w:widowControl/>
        <w:kinsoku/>
        <w:wordWrap/>
        <w:overflowPunct/>
        <w:topLinePunct w:val="0"/>
        <w:autoSpaceDE/>
        <w:autoSpaceDN/>
        <w:bidi w:val="0"/>
        <w:adjustRightInd w:val="0"/>
        <w:snapToGrid w:val="0"/>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2.构建开放的培训平台。</w:t>
      </w:r>
      <w:r>
        <w:rPr>
          <w:rFonts w:hint="default" w:ascii="Times New Roman" w:hAnsi="Times New Roman" w:eastAsia="方正仿宋_GBK" w:cs="Times New Roman"/>
          <w:snapToGrid/>
          <w:kern w:val="2"/>
          <w:sz w:val="32"/>
          <w:szCs w:val="32"/>
          <w:lang w:val="en-US" w:eastAsia="zh-CN" w:bidi="ar-SA"/>
        </w:rPr>
        <w:t>依托技工院校、知名餐饮企业、行业协会商会及社会培训机构,承接徽菜师傅培训项目。广泛开展徽菜技能培训，鼓励我区传承成果显著、菜系品牌突出的徽菜餐饮企业申请创建技能大师工作室,择优申报建设为市级、省级技能大师工作室。（区人社局、区商务和外事局、区文旅局等依职责开展）</w:t>
      </w:r>
    </w:p>
    <w:p w14:paraId="1DD4B318">
      <w:pPr>
        <w:keepNext w:val="0"/>
        <w:keepLines w:val="0"/>
        <w:pageBreakBefore w:val="0"/>
        <w:widowControl/>
        <w:kinsoku/>
        <w:wordWrap/>
        <w:overflowPunct/>
        <w:topLinePunct w:val="0"/>
        <w:autoSpaceDE/>
        <w:autoSpaceDN/>
        <w:bidi w:val="0"/>
        <w:adjustRightInd w:val="0"/>
        <w:snapToGrid w:val="0"/>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3.拓展职业发展空间。</w:t>
      </w:r>
      <w:r>
        <w:rPr>
          <w:rFonts w:hint="default" w:ascii="Times New Roman" w:hAnsi="Times New Roman" w:eastAsia="方正仿宋_GBK" w:cs="Times New Roman"/>
          <w:snapToGrid/>
          <w:kern w:val="2"/>
          <w:sz w:val="32"/>
          <w:szCs w:val="32"/>
          <w:lang w:val="en-US" w:eastAsia="zh-CN" w:bidi="ar-SA"/>
        </w:rPr>
        <w:t>鼓励徽菜师傅申报参加中式烹调师、中式面点师等烹饪类职业技能等级认定,在乡村民宿、农家乐等从业的徽菜师傅,可凭累计工龄破格申报相应职业技能等级评价。积极鼓励参加“徽菜名厨”(系列)评选,符合条件的推荐参加市级“五一劳动奖章”、市青年岗位能手等荣誉评选。（区人社局、区商务和外事局、区总工会、团区委等依职责开展）</w:t>
      </w:r>
    </w:p>
    <w:p w14:paraId="7CB9E78B">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eastAsia" w:ascii="Times New Roman" w:hAnsi="Times New Roman" w:eastAsia="方正楷体_GBK" w:cs="Times New Roman"/>
          <w:b w:val="0"/>
          <w:bCs w:val="0"/>
          <w:snapToGrid/>
          <w:color w:val="000000"/>
          <w:kern w:val="0"/>
          <w:sz w:val="32"/>
          <w:szCs w:val="32"/>
          <w:lang w:val="en-US" w:eastAsia="zh-CN" w:bidi="ar-SA"/>
        </w:rPr>
        <w:t>（三）</w:t>
      </w:r>
      <w:r>
        <w:rPr>
          <w:rFonts w:hint="default" w:ascii="Times New Roman" w:hAnsi="Times New Roman" w:eastAsia="方正楷体_GBK" w:cs="Times New Roman"/>
          <w:b w:val="0"/>
          <w:bCs w:val="0"/>
          <w:snapToGrid/>
          <w:color w:val="000000"/>
          <w:kern w:val="0"/>
          <w:sz w:val="32"/>
          <w:szCs w:val="32"/>
          <w:lang w:val="en-US" w:eastAsia="zh-CN" w:bidi="ar-SA"/>
        </w:rPr>
        <w:t>优化徽菜师傅就业创业服务</w:t>
      </w:r>
    </w:p>
    <w:p w14:paraId="5DBA35D2">
      <w:pPr>
        <w:keepNext w:val="0"/>
        <w:keepLines w:val="0"/>
        <w:pageBreakBefore w:val="0"/>
        <w:widowControl/>
        <w:kinsoku/>
        <w:wordWrap/>
        <w:overflowPunct/>
        <w:topLinePunct w:val="0"/>
        <w:autoSpaceDE/>
        <w:autoSpaceDN/>
        <w:bidi w:val="0"/>
        <w:adjustRightInd w:val="0"/>
        <w:snapToGrid w:val="0"/>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1.加强就业创业服务。</w:t>
      </w:r>
      <w:r>
        <w:rPr>
          <w:rFonts w:hint="default" w:ascii="Times New Roman" w:hAnsi="Times New Roman" w:eastAsia="方正仿宋_GBK" w:cs="Times New Roman"/>
          <w:snapToGrid/>
          <w:kern w:val="2"/>
          <w:sz w:val="32"/>
          <w:szCs w:val="32"/>
          <w:lang w:val="en-US" w:eastAsia="zh-CN" w:bidi="ar-SA"/>
        </w:rPr>
        <w:t>积极推荐参加“赢在江淮”等徽菜师傅创业创新竞赛,面向餐饮企业、徽菜师傅举办就业人才特色专场招聘活动。加大对徽菜师傅创业企业扶持力度,加强对门店的经营管理、品牌建设、市场拓展、风险防控等培训,提供政策咨询、开业指导等“一条龙”孵化培育服务。（区人社局、区商务和外事局、区文旅局等依职责开展）</w:t>
      </w:r>
    </w:p>
    <w:p w14:paraId="1904AB76">
      <w:pPr>
        <w:keepNext w:val="0"/>
        <w:keepLines w:val="0"/>
        <w:pageBreakBefore w:val="0"/>
        <w:widowControl/>
        <w:kinsoku/>
        <w:wordWrap/>
        <w:overflowPunct/>
        <w:topLinePunct w:val="0"/>
        <w:autoSpaceDE/>
        <w:autoSpaceDN/>
        <w:bidi w:val="0"/>
        <w:adjustRightInd w:val="0"/>
        <w:snapToGrid w:val="0"/>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2.激发市场主体活力。</w:t>
      </w:r>
      <w:r>
        <w:rPr>
          <w:rFonts w:hint="default" w:ascii="Times New Roman" w:hAnsi="Times New Roman" w:eastAsia="方正仿宋_GBK" w:cs="Times New Roman"/>
          <w:snapToGrid/>
          <w:kern w:val="2"/>
          <w:sz w:val="32"/>
          <w:szCs w:val="32"/>
          <w:lang w:val="en-US" w:eastAsia="zh-CN" w:bidi="ar-SA"/>
        </w:rPr>
        <w:t>鼓励各级餐饮行业协会商会引导“老字号”徽菜餐饮店铺加快技术改造,运用现代科技手段,创新徽菜烹饪技艺,推进徽菜美食传承与健康饮食的有机统一。贯彻落实省市级徽菜师傅创业街区等级评定标准及奖补办法,新建、改(扩)建或共建特色突出、设施齐全的徽菜师傅创业街区,吸引全省各地徽菜店铺入驻运营,打造一批“有名气、接地气、能圈粉”的徽菜打卡地、商业圈,对创业带动就业效果好、群众满意度高的创业街区,对照省市级办法予以奖补。（区人社局、区商务和外事局、区文旅局等依职责开展）</w:t>
      </w:r>
    </w:p>
    <w:p w14:paraId="6BA80450">
      <w:pPr>
        <w:keepNext w:val="0"/>
        <w:keepLines w:val="0"/>
        <w:pageBreakBefore w:val="0"/>
        <w:widowControl/>
        <w:kinsoku/>
        <w:wordWrap/>
        <w:overflowPunct/>
        <w:topLinePunct w:val="0"/>
        <w:autoSpaceDE/>
        <w:autoSpaceDN/>
        <w:bidi w:val="0"/>
        <w:adjustRightInd w:val="0"/>
        <w:snapToGrid w:val="0"/>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3.推动餐饮产业升级。</w:t>
      </w:r>
      <w:r>
        <w:rPr>
          <w:rFonts w:hint="default" w:ascii="Times New Roman" w:hAnsi="Times New Roman" w:eastAsia="方正仿宋_GBK" w:cs="Times New Roman"/>
          <w:snapToGrid/>
          <w:kern w:val="2"/>
          <w:sz w:val="32"/>
          <w:szCs w:val="32"/>
          <w:lang w:val="en-US" w:eastAsia="zh-CN" w:bidi="ar-SA"/>
        </w:rPr>
        <w:t>依托餐饮行业协会商会,总结推广我市知名品牌餐饮产业发展经验,支持徽菜餐饮企业构建“中央厨房＋冷链配送＋餐饮门店”的生产链、供应链。紧密结合龙子湖区产业特色,加快构建菜品标准化、服务质量标准化、就餐环境标准化等徽菜餐饮产业标准化体系,打造具有龙子湖特色风味餐饮体系,推动徽菜龙头企业实行标准化操作、工厂化生产、集团化运作。鼓励徽菜美食企业开设连锁店、加盟店。（区商务和外事局、区文旅局等依职责开展）</w:t>
      </w:r>
    </w:p>
    <w:p w14:paraId="14213C12">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eastAsia" w:ascii="Times New Roman" w:hAnsi="Times New Roman" w:eastAsia="方正楷体_GBK" w:cs="Times New Roman"/>
          <w:b w:val="0"/>
          <w:bCs w:val="0"/>
          <w:snapToGrid/>
          <w:color w:val="000000"/>
          <w:kern w:val="0"/>
          <w:sz w:val="32"/>
          <w:szCs w:val="32"/>
          <w:lang w:val="en-US" w:eastAsia="zh-CN" w:bidi="ar-SA"/>
        </w:rPr>
        <w:t>（三）</w:t>
      </w:r>
      <w:r>
        <w:rPr>
          <w:rFonts w:hint="default" w:ascii="Times New Roman" w:hAnsi="Times New Roman" w:eastAsia="方正楷体_GBK" w:cs="Times New Roman"/>
          <w:b w:val="0"/>
          <w:bCs w:val="0"/>
          <w:snapToGrid/>
          <w:color w:val="000000"/>
          <w:kern w:val="0"/>
          <w:sz w:val="32"/>
          <w:szCs w:val="32"/>
          <w:lang w:val="en-US" w:eastAsia="zh-CN" w:bidi="ar-SA"/>
        </w:rPr>
        <w:t>打造徽菜餐饮文化品牌</w:t>
      </w:r>
    </w:p>
    <w:p w14:paraId="48FAE043">
      <w:pPr>
        <w:keepNext w:val="0"/>
        <w:keepLines w:val="0"/>
        <w:pageBreakBefore w:val="0"/>
        <w:widowControl/>
        <w:kinsoku/>
        <w:wordWrap/>
        <w:overflowPunct/>
        <w:topLinePunct w:val="0"/>
        <w:autoSpaceDE/>
        <w:autoSpaceDN/>
        <w:bidi w:val="0"/>
        <w:adjustRightInd w:val="0"/>
        <w:snapToGrid w:val="0"/>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1.增强徽菜产业“软实力”。</w:t>
      </w:r>
      <w:r>
        <w:rPr>
          <w:rFonts w:hint="default" w:ascii="Times New Roman" w:hAnsi="Times New Roman" w:eastAsia="方正仿宋_GBK" w:cs="Times New Roman"/>
          <w:snapToGrid/>
          <w:kern w:val="2"/>
          <w:sz w:val="32"/>
          <w:szCs w:val="32"/>
          <w:lang w:val="en-US" w:eastAsia="zh-CN" w:bidi="ar-SA"/>
        </w:rPr>
        <w:t>探索“龙子湖名特小吃＋旅游＋市场”发展路径, 争创1条省级特色美食旅游线路，1条以上市级特色美食旅游线路,打造1个省级特色美食村，2个市级特色美食村;支持符合条件的蚌埠名小吃制作技艺申报非物质文化遗产代表性项目,挖掘、推广蚌埠小龙虾、烧全鸡等本土特色菜式、特色宴,探索本地特色餐饮美食文化发展路径。（区文旅局依职责开展）</w:t>
      </w:r>
    </w:p>
    <w:p w14:paraId="617D05C7">
      <w:pPr>
        <w:keepNext w:val="0"/>
        <w:keepLines w:val="0"/>
        <w:pageBreakBefore w:val="0"/>
        <w:widowControl/>
        <w:kinsoku/>
        <w:wordWrap/>
        <w:overflowPunct/>
        <w:topLinePunct w:val="0"/>
        <w:autoSpaceDE/>
        <w:autoSpaceDN/>
        <w:bidi w:val="0"/>
        <w:adjustRightInd w:val="0"/>
        <w:snapToGrid w:val="0"/>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2.拓展徽菜文化“传播力”。</w:t>
      </w:r>
      <w:r>
        <w:rPr>
          <w:rFonts w:hint="default" w:ascii="Times New Roman" w:hAnsi="Times New Roman" w:eastAsia="方正仿宋_GBK" w:cs="Times New Roman"/>
          <w:snapToGrid/>
          <w:kern w:val="2"/>
          <w:sz w:val="32"/>
          <w:szCs w:val="32"/>
          <w:lang w:val="en-US" w:eastAsia="zh-CN" w:bidi="ar-SA"/>
        </w:rPr>
        <w:t>通过举办龙子湖名特小吃文化展示交流活动、徽菜专项技能竞赛、编纂名特小吃读物和美食宣传片等形式,深入推介徽菜师傅烹饪制作技能技艺,讲好徽菜师傅就业创业故事，推介本地徽菜师傅烹饪制作技能技艺。围绕“乡土、乡情、乡愁”,加强“新徽菜名徽厨”行动与省、市文旅资源开发、沪苏浙餐饮交流等有机衔接,吸引更多外出务工人员回蚌学技、回乡创业。（区文旅局依职责开展）</w:t>
      </w:r>
    </w:p>
    <w:p w14:paraId="4CFB95E3">
      <w:pPr>
        <w:keepNext w:val="0"/>
        <w:keepLines w:val="0"/>
        <w:pageBreakBefore w:val="0"/>
        <w:widowControl/>
        <w:kinsoku/>
        <w:wordWrap/>
        <w:overflowPunct/>
        <w:topLinePunct w:val="0"/>
        <w:autoSpaceDE/>
        <w:autoSpaceDN/>
        <w:bidi w:val="0"/>
        <w:adjustRightInd w:val="0"/>
        <w:snapToGrid w:val="0"/>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3.扩大徽菜品牌“影响力”。</w:t>
      </w:r>
      <w:r>
        <w:rPr>
          <w:rFonts w:hint="default" w:ascii="Times New Roman" w:hAnsi="Times New Roman" w:eastAsia="方正仿宋_GBK" w:cs="Times New Roman"/>
          <w:snapToGrid/>
          <w:kern w:val="2"/>
          <w:sz w:val="32"/>
          <w:szCs w:val="32"/>
          <w:lang w:val="en-US" w:eastAsia="zh-CN" w:bidi="ar-SA"/>
        </w:rPr>
        <w:t>发挥各级行业协会商会在搭建徽菜餐饮行业发展平台等方面的桥梁纽带作用,积极推介徽菜文化品牌,鼓励徽菜师傅出皖就业、自主创业、技能兴业。鼓励加强徽菜特色文化品牌推广,充分发挥自身优势，积极与省内、省外地区，加强交流对接,新建或改(扩)建徽菜餐饮特色店铺,让更多徽菜特色美食走出安徽、走向全国。（区商务和外事局、区文旅局、区人社局等依职责开展）</w:t>
      </w:r>
    </w:p>
    <w:p w14:paraId="36895325">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黑体_GBK" w:cs="Times New Roman"/>
          <w:snapToGrid/>
          <w:color w:val="000000"/>
          <w:kern w:val="0"/>
          <w:sz w:val="32"/>
          <w:szCs w:val="32"/>
          <w:lang w:val="en-US" w:eastAsia="zh-CN" w:bidi="ar-SA"/>
        </w:rPr>
      </w:pPr>
      <w:r>
        <w:rPr>
          <w:rFonts w:hint="default" w:ascii="Times New Roman" w:hAnsi="Times New Roman" w:eastAsia="方正黑体_GBK" w:cs="Times New Roman"/>
          <w:snapToGrid/>
          <w:color w:val="000000"/>
          <w:kern w:val="0"/>
          <w:sz w:val="32"/>
          <w:szCs w:val="32"/>
          <w:lang w:val="en-US" w:eastAsia="zh-CN" w:bidi="ar-SA"/>
        </w:rPr>
        <w:t>三、保障措施</w:t>
      </w:r>
    </w:p>
    <w:p w14:paraId="3FD01688">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default" w:ascii="Times New Roman" w:hAnsi="Times New Roman" w:eastAsia="方正楷体_GBK" w:cs="Times New Roman"/>
          <w:b w:val="0"/>
          <w:bCs w:val="0"/>
          <w:snapToGrid/>
          <w:color w:val="000000"/>
          <w:kern w:val="0"/>
          <w:sz w:val="32"/>
          <w:szCs w:val="32"/>
          <w:lang w:val="en-US" w:eastAsia="zh-CN" w:bidi="ar-SA"/>
        </w:rPr>
        <w:t>（一）组织领导</w:t>
      </w:r>
    </w:p>
    <w:p w14:paraId="2262A1C6">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成立龙子湖区“新徽菜·名徽厨”——“食新徽菜 品古文化”主题活动专项行动工作领导小组，领导小组办公室设在区人社局，区财政局、区商务和外事局、区文广旅局作为工作小组成员单位。</w:t>
      </w:r>
    </w:p>
    <w:p w14:paraId="088E936D">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default" w:ascii="Times New Roman" w:hAnsi="Times New Roman" w:eastAsia="方正楷体_GBK" w:cs="Times New Roman"/>
          <w:b w:val="0"/>
          <w:bCs w:val="0"/>
          <w:snapToGrid/>
          <w:color w:val="000000"/>
          <w:kern w:val="0"/>
          <w:sz w:val="32"/>
          <w:szCs w:val="32"/>
          <w:lang w:val="en-US" w:eastAsia="zh-CN" w:bidi="ar-SA"/>
        </w:rPr>
        <w:t>（二）推进机制</w:t>
      </w:r>
    </w:p>
    <w:p w14:paraId="25469302">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各责任单位开展的活动应提前2天向领导小组报备，活动结束后向领导小组报告活动成效；建立工作微信群，工作小组成员单位选择专人负责，每周向行动牵头单位报送工作进展情况，存在问题，下一步工作计划以及宣传报导情况。</w:t>
      </w:r>
    </w:p>
    <w:p w14:paraId="6F20376F">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黑体_GBK" w:cs="Times New Roman"/>
          <w:snapToGrid/>
          <w:color w:val="000000"/>
          <w:kern w:val="0"/>
          <w:sz w:val="32"/>
          <w:szCs w:val="32"/>
          <w:lang w:val="en-US" w:eastAsia="zh-CN" w:bidi="ar-SA"/>
        </w:rPr>
      </w:pPr>
      <w:r>
        <w:rPr>
          <w:rFonts w:hint="default" w:ascii="Times New Roman" w:hAnsi="Times New Roman" w:eastAsia="方正黑体_GBK" w:cs="Times New Roman"/>
          <w:snapToGrid/>
          <w:color w:val="000000"/>
          <w:kern w:val="0"/>
          <w:sz w:val="32"/>
          <w:szCs w:val="32"/>
          <w:lang w:val="en-US" w:eastAsia="zh-CN" w:bidi="ar-SA"/>
        </w:rPr>
        <w:t>四、支持政策</w:t>
      </w:r>
    </w:p>
    <w:p w14:paraId="21F2C4F0">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eastAsia" w:ascii="Times New Roman" w:hAnsi="Times New Roman" w:eastAsia="方正楷体_GBK" w:cs="Times New Roman"/>
          <w:b w:val="0"/>
          <w:bCs w:val="0"/>
          <w:snapToGrid/>
          <w:color w:val="000000"/>
          <w:kern w:val="0"/>
          <w:sz w:val="32"/>
          <w:szCs w:val="32"/>
          <w:lang w:val="en-US" w:eastAsia="zh-CN" w:bidi="ar-SA"/>
        </w:rPr>
        <w:t>（一）</w:t>
      </w:r>
      <w:r>
        <w:rPr>
          <w:rFonts w:hint="default" w:ascii="Times New Roman" w:hAnsi="Times New Roman" w:eastAsia="方正楷体_GBK" w:cs="Times New Roman"/>
          <w:b w:val="0"/>
          <w:bCs w:val="0"/>
          <w:snapToGrid/>
          <w:color w:val="000000"/>
          <w:kern w:val="0"/>
          <w:sz w:val="32"/>
          <w:szCs w:val="32"/>
          <w:lang w:val="en-US" w:eastAsia="zh-CN" w:bidi="ar-SA"/>
        </w:rPr>
        <w:t>落实培训补贴</w:t>
      </w:r>
    </w:p>
    <w:p w14:paraId="7762A87C">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仿宋_GB2312" w:cs="Times New Roman"/>
          <w:snapToGrid/>
          <w:color w:val="000000"/>
          <w:kern w:val="0"/>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对于参加徽菜师傅就业技能培训的人员,按照“先缴后补、直补个人”方式,给予参训人员最高1200元/人培训补贴,对符合条件的发放生活补助。餐饮企业开展新录用人员岗前技能培训,根据培训合格人数,给予企业800元/人培训补贴;餐饮企业开展在职徽菜师傅岗位技能提升培训,按照不同职业技能等级给予最高5000元/人培补贴。</w:t>
      </w:r>
    </w:p>
    <w:p w14:paraId="6A080CAE">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eastAsia" w:ascii="Times New Roman" w:hAnsi="Times New Roman" w:eastAsia="方正楷体_GBK" w:cs="Times New Roman"/>
          <w:b w:val="0"/>
          <w:bCs w:val="0"/>
          <w:snapToGrid/>
          <w:color w:val="000000"/>
          <w:kern w:val="0"/>
          <w:sz w:val="32"/>
          <w:szCs w:val="32"/>
          <w:lang w:val="en-US" w:eastAsia="zh-CN" w:bidi="ar-SA"/>
        </w:rPr>
        <w:t>（二）</w:t>
      </w:r>
      <w:r>
        <w:rPr>
          <w:rFonts w:hint="default" w:ascii="Times New Roman" w:hAnsi="Times New Roman" w:eastAsia="方正楷体_GBK" w:cs="Times New Roman"/>
          <w:b w:val="0"/>
          <w:bCs w:val="0"/>
          <w:snapToGrid/>
          <w:color w:val="000000"/>
          <w:kern w:val="0"/>
          <w:sz w:val="32"/>
          <w:szCs w:val="32"/>
          <w:lang w:val="en-US" w:eastAsia="zh-CN" w:bidi="ar-SA"/>
        </w:rPr>
        <w:t>强化创业帮扶</w:t>
      </w:r>
    </w:p>
    <w:p w14:paraId="6B8C1786">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根据徽菜美食企业开设连锁店、加盟店情况,按规定申报创业就业补贴。对管理规范、服务良好、场租优惠多、带动就业明显的徽菜创业街区,申报孵化基地补贴。为重点就业群体创办徽菜创业项目,申报创业担保贷款,对10万元及以下的个人创业担保贷款免除反担保要求。对于回乡开办农家乐、小餐馆的农民工,按规定申报一次性创业补贴。</w:t>
      </w:r>
    </w:p>
    <w:p w14:paraId="694AE5F6">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楷体_GBK" w:cs="Times New Roman"/>
          <w:b w:val="0"/>
          <w:bCs w:val="0"/>
          <w:snapToGrid/>
          <w:color w:val="000000"/>
          <w:kern w:val="0"/>
          <w:sz w:val="32"/>
          <w:szCs w:val="32"/>
          <w:lang w:val="en-US" w:eastAsia="zh-CN" w:bidi="ar-SA"/>
        </w:rPr>
      </w:pPr>
      <w:r>
        <w:rPr>
          <w:rFonts w:hint="eastAsia" w:ascii="Times New Roman" w:hAnsi="Times New Roman" w:eastAsia="方正楷体_GBK" w:cs="Times New Roman"/>
          <w:b w:val="0"/>
          <w:bCs w:val="0"/>
          <w:snapToGrid/>
          <w:color w:val="000000"/>
          <w:kern w:val="0"/>
          <w:sz w:val="32"/>
          <w:szCs w:val="32"/>
          <w:lang w:val="en-US" w:eastAsia="zh-CN" w:bidi="ar-SA"/>
        </w:rPr>
        <w:t>（三）</w:t>
      </w:r>
      <w:r>
        <w:rPr>
          <w:rFonts w:hint="default" w:ascii="Times New Roman" w:hAnsi="Times New Roman" w:eastAsia="方正楷体_GBK" w:cs="Times New Roman"/>
          <w:b w:val="0"/>
          <w:bCs w:val="0"/>
          <w:snapToGrid/>
          <w:color w:val="000000"/>
          <w:kern w:val="0"/>
          <w:sz w:val="32"/>
          <w:szCs w:val="32"/>
          <w:lang w:val="en-US" w:eastAsia="zh-CN" w:bidi="ar-SA"/>
        </w:rPr>
        <w:t>助力品牌培育</w:t>
      </w:r>
    </w:p>
    <w:p w14:paraId="79E740A5">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对初次参加专项职业能力考核及职业技能等级认定的,按规定申报技能等级评价定额补贴,评价补贴直接补给实施评价的承训单位或委托的评价机构。</w:t>
      </w:r>
    </w:p>
    <w:p w14:paraId="1AD14C30">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p>
    <w:p w14:paraId="16FE8DA5">
      <w:pPr>
        <w:widowControl w:val="0"/>
        <w:kinsoku/>
        <w:autoSpaceDE/>
        <w:autoSpaceDN/>
        <w:adjustRightInd/>
        <w:snapToGrid w:val="0"/>
        <w:spacing w:line="500" w:lineRule="exact"/>
        <w:ind w:firstLine="640" w:firstLineChars="200"/>
        <w:jc w:val="both"/>
        <w:textAlignment w:val="auto"/>
        <w:rPr>
          <w:rFonts w:hint="default" w:ascii="Times New Roman" w:hAnsi="Times New Roman" w:eastAsia="仿宋" w:cs="Times New Roman"/>
          <w:snapToGrid/>
          <w:kern w:val="2"/>
          <w:sz w:val="32"/>
          <w:szCs w:val="32"/>
          <w:lang w:val="en-US" w:eastAsia="zh-CN" w:bidi="ar-SA"/>
        </w:rPr>
      </w:pPr>
      <w:r>
        <w:rPr>
          <w:rFonts w:hint="default" w:ascii="Times New Roman" w:hAnsi="Times New Roman" w:eastAsia="仿宋" w:cs="Times New Roman"/>
          <w:snapToGrid/>
          <w:kern w:val="2"/>
          <w:sz w:val="32"/>
          <w:szCs w:val="32"/>
          <w:lang w:val="en-US" w:eastAsia="zh-CN" w:bidi="ar-SA"/>
        </w:rPr>
        <w:t>附件：重点工作任务分工</w:t>
      </w:r>
    </w:p>
    <w:p w14:paraId="0BD3E3CD">
      <w:pPr>
        <w:widowControl w:val="0"/>
        <w:kinsoku/>
        <w:autoSpaceDE/>
        <w:autoSpaceDN/>
        <w:adjustRightInd/>
        <w:snapToGrid w:val="0"/>
        <w:spacing w:line="500" w:lineRule="exact"/>
        <w:ind w:firstLine="640" w:firstLineChars="200"/>
        <w:jc w:val="both"/>
        <w:textAlignment w:val="auto"/>
        <w:rPr>
          <w:rFonts w:hint="default" w:ascii="Times New Roman" w:hAnsi="Times New Roman" w:eastAsia="仿宋" w:cs="Times New Roman"/>
          <w:snapToGrid/>
          <w:kern w:val="2"/>
          <w:sz w:val="32"/>
          <w:szCs w:val="32"/>
          <w:lang w:val="en-US" w:eastAsia="zh-CN" w:bidi="ar-SA"/>
        </w:rPr>
      </w:pPr>
    </w:p>
    <w:p w14:paraId="6D9579FE">
      <w:pPr>
        <w:widowControl w:val="0"/>
        <w:kinsoku/>
        <w:autoSpaceDE/>
        <w:autoSpaceDN/>
        <w:adjustRightInd/>
        <w:snapToGrid/>
        <w:spacing w:line="360" w:lineRule="exact"/>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附件3-1</w:t>
      </w:r>
    </w:p>
    <w:p w14:paraId="11FA9210">
      <w:pPr>
        <w:widowControl/>
        <w:kinsoku/>
        <w:autoSpaceDE/>
        <w:autoSpaceDN/>
        <w:adjustRightInd/>
        <w:snapToGrid/>
        <w:spacing w:line="240" w:lineRule="auto"/>
        <w:jc w:val="center"/>
        <w:textAlignment w:val="auto"/>
        <w:rPr>
          <w:rFonts w:hint="default" w:ascii="Times New Roman" w:hAnsi="Times New Roman" w:eastAsia="方正小标宋简体" w:cs="Times New Roman"/>
          <w:snapToGrid/>
          <w:kern w:val="0"/>
          <w:sz w:val="41"/>
          <w:szCs w:val="41"/>
          <w:lang w:val="en-US" w:eastAsia="zh-CN" w:bidi="ar-SA"/>
        </w:rPr>
      </w:pPr>
      <w:r>
        <w:rPr>
          <w:rFonts w:hint="default" w:ascii="Times New Roman" w:hAnsi="Times New Roman" w:eastAsia="方正小标宋简体" w:cs="Times New Roman"/>
          <w:snapToGrid/>
          <w:kern w:val="0"/>
          <w:sz w:val="41"/>
          <w:szCs w:val="41"/>
          <w:lang w:val="en-US" w:eastAsia="zh-CN" w:bidi="ar-SA"/>
        </w:rPr>
        <w:t xml:space="preserve"> </w:t>
      </w:r>
      <w:r>
        <w:rPr>
          <w:rFonts w:hint="default" w:ascii="Times New Roman" w:hAnsi="Times New Roman" w:eastAsia="方正小标宋_GBK" w:cs="Times New Roman"/>
          <w:snapToGrid/>
          <w:kern w:val="0"/>
          <w:sz w:val="44"/>
          <w:szCs w:val="44"/>
          <w:lang w:val="en-US" w:eastAsia="zh-CN" w:bidi="ar-SA"/>
        </w:rPr>
        <w:t xml:space="preserve"> 重点工作任务分工</w:t>
      </w:r>
    </w:p>
    <w:p w14:paraId="419815FD">
      <w:pPr>
        <w:widowControl w:val="0"/>
        <w:ind w:left="111" w:firstLine="631"/>
        <w:jc w:val="both"/>
        <w:rPr>
          <w:rFonts w:hint="default" w:ascii="Times New Roman" w:hAnsi="Times New Roman" w:eastAsia="方正小标宋简体" w:cs="Times New Roman"/>
          <w:kern w:val="2"/>
          <w:sz w:val="21"/>
          <w:szCs w:val="20"/>
          <w:lang w:val="en-US" w:eastAsia="zh-CN" w:bidi="ar-SA"/>
        </w:rPr>
      </w:pPr>
      <w:r>
        <w:rPr>
          <w:rFonts w:hint="default" w:ascii="Times New Roman" w:hAnsi="Times New Roman" w:eastAsia="方正小标宋简体" w:cs="Times New Roman"/>
          <w:color w:val="FF0000"/>
          <w:kern w:val="0"/>
          <w:sz w:val="41"/>
          <w:szCs w:val="41"/>
          <w:lang w:val="en-US" w:eastAsia="zh-CN" w:bidi="ar-SA"/>
        </w:rPr>
        <w:t xml:space="preserve">       </w:t>
      </w:r>
      <w:r>
        <w:rPr>
          <w:rFonts w:hint="eastAsia" w:ascii="Times New Roman" w:hAnsi="Times New Roman" w:eastAsia="方正小标宋简体" w:cs="Times New Roman"/>
          <w:color w:val="FF0000"/>
          <w:kern w:val="0"/>
          <w:sz w:val="41"/>
          <w:szCs w:val="41"/>
          <w:lang w:val="en-US" w:eastAsia="zh-CN" w:bidi="ar-SA"/>
        </w:rPr>
        <w:t xml:space="preserve"> </w:t>
      </w:r>
      <w:r>
        <w:rPr>
          <w:rFonts w:hint="default" w:ascii="Times New Roman" w:hAnsi="Times New Roman" w:eastAsia="方正小标宋简体" w:cs="Times New Roman"/>
          <w:color w:val="FF0000"/>
          <w:kern w:val="0"/>
          <w:sz w:val="28"/>
          <w:szCs w:val="28"/>
          <w:lang w:val="en-US" w:eastAsia="zh-CN" w:bidi="ar-SA"/>
        </w:rPr>
        <w:t xml:space="preserve"> </w:t>
      </w:r>
      <w:r>
        <w:rPr>
          <w:rFonts w:hint="default" w:ascii="Times New Roman" w:hAnsi="Times New Roman" w:eastAsia="方正小标宋简体" w:cs="Times New Roman"/>
          <w:kern w:val="0"/>
          <w:sz w:val="28"/>
          <w:szCs w:val="28"/>
          <w:lang w:val="en-US" w:eastAsia="zh-CN" w:bidi="ar-SA"/>
        </w:rPr>
        <w:t>（</w:t>
      </w:r>
      <w:r>
        <w:rPr>
          <w:rFonts w:hint="default" w:ascii="Times New Roman" w:hAnsi="Times New Roman" w:eastAsia="仿宋_GB2312" w:cs="Times New Roman"/>
          <w:kern w:val="0"/>
          <w:sz w:val="28"/>
          <w:szCs w:val="28"/>
          <w:lang w:val="en-US" w:eastAsia="zh-CN" w:bidi="ar-SA"/>
        </w:rPr>
        <w:t>依市下达目标任务数为准</w:t>
      </w:r>
      <w:r>
        <w:rPr>
          <w:rFonts w:hint="default" w:ascii="Times New Roman" w:hAnsi="Times New Roman" w:eastAsia="方正小标宋简体" w:cs="Times New Roman"/>
          <w:kern w:val="0"/>
          <w:sz w:val="28"/>
          <w:szCs w:val="28"/>
          <w:lang w:val="en-US" w:eastAsia="zh-CN" w:bidi="ar-SA"/>
        </w:rPr>
        <w:t>）</w:t>
      </w:r>
    </w:p>
    <w:tbl>
      <w:tblPr>
        <w:tblStyle w:val="10"/>
        <w:tblW w:w="9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2379"/>
        <w:gridCol w:w="5010"/>
        <w:gridCol w:w="1258"/>
      </w:tblGrid>
      <w:tr w14:paraId="7071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817" w:type="dxa"/>
            <w:noWrap w:val="0"/>
            <w:vAlign w:val="center"/>
          </w:tcPr>
          <w:p w14:paraId="5A7F5984">
            <w:pPr>
              <w:widowControl/>
              <w:kinsoku/>
              <w:autoSpaceDE/>
              <w:autoSpaceDN/>
              <w:adjustRightInd/>
              <w:snapToGrid/>
              <w:spacing w:line="240" w:lineRule="auto"/>
              <w:jc w:val="center"/>
              <w:textAlignment w:val="auto"/>
              <w:rPr>
                <w:rFonts w:hint="default" w:ascii="Times New Roman" w:hAnsi="Times New Roman" w:eastAsia="方正黑体_GBK" w:cs="Times New Roman"/>
                <w:snapToGrid/>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SA"/>
              </w:rPr>
              <w:t>序号</w:t>
            </w:r>
          </w:p>
        </w:tc>
        <w:tc>
          <w:tcPr>
            <w:tcW w:w="2379" w:type="dxa"/>
            <w:noWrap w:val="0"/>
            <w:vAlign w:val="center"/>
          </w:tcPr>
          <w:p w14:paraId="706A8391">
            <w:pPr>
              <w:widowControl/>
              <w:kinsoku/>
              <w:autoSpaceDE/>
              <w:autoSpaceDN/>
              <w:adjustRightInd/>
              <w:snapToGrid/>
              <w:spacing w:line="240" w:lineRule="auto"/>
              <w:jc w:val="center"/>
              <w:textAlignment w:val="auto"/>
              <w:rPr>
                <w:rFonts w:hint="default" w:ascii="Times New Roman" w:hAnsi="Times New Roman" w:eastAsia="方正黑体_GBK" w:cs="Times New Roman"/>
                <w:snapToGrid/>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SA"/>
              </w:rPr>
              <w:t>重点任务</w:t>
            </w:r>
          </w:p>
        </w:tc>
        <w:tc>
          <w:tcPr>
            <w:tcW w:w="5010" w:type="dxa"/>
            <w:noWrap w:val="0"/>
            <w:vAlign w:val="center"/>
          </w:tcPr>
          <w:p w14:paraId="0C4E8080">
            <w:pPr>
              <w:widowControl/>
              <w:kinsoku/>
              <w:autoSpaceDE/>
              <w:autoSpaceDN/>
              <w:adjustRightInd/>
              <w:snapToGrid/>
              <w:spacing w:line="240" w:lineRule="auto"/>
              <w:jc w:val="center"/>
              <w:textAlignment w:val="auto"/>
              <w:rPr>
                <w:rFonts w:hint="default" w:ascii="Times New Roman" w:hAnsi="Times New Roman" w:eastAsia="方正黑体_GBK" w:cs="Times New Roman"/>
                <w:snapToGrid/>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SA"/>
              </w:rPr>
              <w:t>时限要求</w:t>
            </w:r>
          </w:p>
        </w:tc>
        <w:tc>
          <w:tcPr>
            <w:tcW w:w="1258" w:type="dxa"/>
            <w:noWrap w:val="0"/>
            <w:vAlign w:val="center"/>
          </w:tcPr>
          <w:p w14:paraId="3ACD2F7B">
            <w:pPr>
              <w:keepNext w:val="0"/>
              <w:keepLines w:val="0"/>
              <w:pageBreakBefore w:val="0"/>
              <w:widowControl/>
              <w:kinsoku/>
              <w:wordWrap/>
              <w:overflowPunct/>
              <w:topLinePunct w:val="0"/>
              <w:autoSpaceDE/>
              <w:autoSpaceDN/>
              <w:bidi w:val="0"/>
              <w:adjustRightInd/>
              <w:snapToGrid/>
              <w:spacing w:line="0" w:lineRule="atLeast"/>
              <w:jc w:val="center"/>
              <w:textAlignment w:val="auto"/>
              <w:rPr>
                <w:rFonts w:hint="default" w:ascii="Times New Roman" w:hAnsi="Times New Roman" w:eastAsia="方正黑体_GBK" w:cs="Times New Roman"/>
                <w:snapToGrid/>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SA"/>
              </w:rPr>
              <w:t>牵头责任单位</w:t>
            </w:r>
          </w:p>
        </w:tc>
      </w:tr>
      <w:tr w14:paraId="4D26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6" w:hRule="atLeast"/>
          <w:jc w:val="center"/>
        </w:trPr>
        <w:tc>
          <w:tcPr>
            <w:tcW w:w="817" w:type="dxa"/>
            <w:noWrap w:val="0"/>
            <w:vAlign w:val="center"/>
          </w:tcPr>
          <w:p w14:paraId="521498A6">
            <w:pPr>
              <w:widowControl w:val="0"/>
              <w:kinsoku/>
              <w:autoSpaceDE/>
              <w:autoSpaceDN/>
              <w:adjustRightInd/>
              <w:snapToGrid/>
              <w:spacing w:line="240" w:lineRule="auto"/>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w:t>
            </w:r>
          </w:p>
        </w:tc>
        <w:tc>
          <w:tcPr>
            <w:tcW w:w="2379" w:type="dxa"/>
            <w:noWrap w:val="0"/>
            <w:vAlign w:val="center"/>
          </w:tcPr>
          <w:p w14:paraId="0CCAF9B8">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徽菜师傅技能培训、技能等级评价、就业创业服务和特色招聘活动</w:t>
            </w:r>
          </w:p>
        </w:tc>
        <w:tc>
          <w:tcPr>
            <w:tcW w:w="5010" w:type="dxa"/>
            <w:noWrap w:val="0"/>
            <w:vAlign w:val="center"/>
          </w:tcPr>
          <w:p w14:paraId="02F95E34">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2022年,开展徽菜师傅技能培训70人次以上，策划和组织1场特色专场招聘活动。</w:t>
            </w:r>
          </w:p>
          <w:p w14:paraId="063365BF">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2023年起,每年开展徽菜师傅技能培训不少于150人次。</w:t>
            </w:r>
          </w:p>
          <w:p w14:paraId="15B174AE">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力争到2025年底,开展徽菜制作技能培训不少于320人次,新增徽菜师傅不低于240人, 支持徽菜师傅创业和带动徽菜等餐饮企业就业1000人。</w:t>
            </w:r>
          </w:p>
        </w:tc>
        <w:tc>
          <w:tcPr>
            <w:tcW w:w="1258" w:type="dxa"/>
            <w:noWrap w:val="0"/>
            <w:vAlign w:val="center"/>
          </w:tcPr>
          <w:p w14:paraId="100A4958">
            <w:pPr>
              <w:widowControl w:val="0"/>
              <w:kinsoku/>
              <w:autoSpaceDE/>
              <w:autoSpaceDN/>
              <w:adjustRightInd/>
              <w:snapToGrid/>
              <w:spacing w:line="240" w:lineRule="auto"/>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区人社局</w:t>
            </w:r>
          </w:p>
        </w:tc>
      </w:tr>
      <w:tr w14:paraId="46B34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7" w:type="dxa"/>
            <w:noWrap w:val="0"/>
            <w:vAlign w:val="center"/>
          </w:tcPr>
          <w:p w14:paraId="783A58B8">
            <w:pPr>
              <w:widowControl w:val="0"/>
              <w:kinsoku/>
              <w:autoSpaceDE/>
              <w:autoSpaceDN/>
              <w:adjustRightInd/>
              <w:snapToGrid/>
              <w:spacing w:line="240" w:lineRule="auto"/>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w:t>
            </w:r>
          </w:p>
        </w:tc>
        <w:tc>
          <w:tcPr>
            <w:tcW w:w="2379" w:type="dxa"/>
            <w:noWrap w:val="0"/>
            <w:vAlign w:val="center"/>
          </w:tcPr>
          <w:p w14:paraId="47392903">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“新徽菜 名徽厨”行动资金保障。</w:t>
            </w:r>
          </w:p>
        </w:tc>
        <w:tc>
          <w:tcPr>
            <w:tcW w:w="5010" w:type="dxa"/>
            <w:noWrap w:val="0"/>
            <w:vAlign w:val="center"/>
          </w:tcPr>
          <w:p w14:paraId="19B3B4E1">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2022年-2025年，积极与市人社局、市财政局协调，申请职业技能提升行动专账资金、就业补助资金和地方财政资金予以安排。</w:t>
            </w:r>
          </w:p>
        </w:tc>
        <w:tc>
          <w:tcPr>
            <w:tcW w:w="1258" w:type="dxa"/>
            <w:noWrap w:val="0"/>
            <w:vAlign w:val="center"/>
          </w:tcPr>
          <w:p w14:paraId="2D18997F">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区人社局、区财政局</w:t>
            </w:r>
          </w:p>
        </w:tc>
      </w:tr>
      <w:tr w14:paraId="1173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jc w:val="center"/>
        </w:trPr>
        <w:tc>
          <w:tcPr>
            <w:tcW w:w="817" w:type="dxa"/>
            <w:noWrap w:val="0"/>
            <w:vAlign w:val="center"/>
          </w:tcPr>
          <w:p w14:paraId="5D33CF51">
            <w:pPr>
              <w:widowControl w:val="0"/>
              <w:kinsoku/>
              <w:autoSpaceDE/>
              <w:autoSpaceDN/>
              <w:adjustRightInd/>
              <w:snapToGrid/>
              <w:spacing w:line="240" w:lineRule="auto"/>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3</w:t>
            </w:r>
          </w:p>
        </w:tc>
        <w:tc>
          <w:tcPr>
            <w:tcW w:w="2379" w:type="dxa"/>
            <w:noWrap w:val="0"/>
            <w:vAlign w:val="center"/>
          </w:tcPr>
          <w:p w14:paraId="121ABD9D">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争创1条省级特色美食旅游线路，1条以上市级特色美食旅游线路,打造1个省级特色美食村，2个市级特色美食村。</w:t>
            </w:r>
          </w:p>
        </w:tc>
        <w:tc>
          <w:tcPr>
            <w:tcW w:w="5010" w:type="dxa"/>
            <w:noWrap w:val="0"/>
            <w:vAlign w:val="center"/>
          </w:tcPr>
          <w:p w14:paraId="1E241DE2">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2022年，开发1条特色美食旅游线路,培育1个省级特色美食体验街区，1个市级特色美食村。到2025年，持续加大特色线路宣传推广力度，争创1条省级特色美食旅游线路，1条以上市级特色美食旅游线路,打造1个省级特色美食村，2个市级特色美食村。</w:t>
            </w:r>
          </w:p>
        </w:tc>
        <w:tc>
          <w:tcPr>
            <w:tcW w:w="1258" w:type="dxa"/>
            <w:noWrap w:val="0"/>
            <w:vAlign w:val="center"/>
          </w:tcPr>
          <w:p w14:paraId="285357D7">
            <w:pPr>
              <w:widowControl w:val="0"/>
              <w:kinsoku/>
              <w:autoSpaceDE/>
              <w:autoSpaceDN/>
              <w:adjustRightInd/>
              <w:snapToGrid/>
              <w:spacing w:line="240" w:lineRule="auto"/>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区文旅局</w:t>
            </w:r>
          </w:p>
        </w:tc>
      </w:tr>
      <w:tr w14:paraId="3A234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4" w:hRule="atLeast"/>
          <w:jc w:val="center"/>
        </w:trPr>
        <w:tc>
          <w:tcPr>
            <w:tcW w:w="817" w:type="dxa"/>
            <w:noWrap w:val="0"/>
            <w:vAlign w:val="center"/>
          </w:tcPr>
          <w:p w14:paraId="3510704C">
            <w:pPr>
              <w:widowControl w:val="0"/>
              <w:kinsoku/>
              <w:autoSpaceDE/>
              <w:autoSpaceDN/>
              <w:adjustRightInd/>
              <w:snapToGrid/>
              <w:spacing w:line="240" w:lineRule="auto"/>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4</w:t>
            </w:r>
          </w:p>
        </w:tc>
        <w:tc>
          <w:tcPr>
            <w:tcW w:w="2379" w:type="dxa"/>
            <w:noWrap w:val="0"/>
            <w:vAlign w:val="center"/>
          </w:tcPr>
          <w:p w14:paraId="4C9C7A13">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推动徽菜企业连锁经营。</w:t>
            </w:r>
          </w:p>
        </w:tc>
        <w:tc>
          <w:tcPr>
            <w:tcW w:w="5010" w:type="dxa"/>
            <w:noWrap w:val="0"/>
            <w:vAlign w:val="center"/>
          </w:tcPr>
          <w:p w14:paraId="0A6B8884">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2022年，新增徽菜连锁企业不少于1家，新增徽菜餐饮连锁店不少于2家。</w:t>
            </w:r>
          </w:p>
          <w:p w14:paraId="3FC7E940">
            <w:pPr>
              <w:widowControl w:val="0"/>
              <w:kinsoku/>
              <w:autoSpaceDE/>
              <w:autoSpaceDN/>
              <w:adjustRightInd/>
              <w:snapToGrid/>
              <w:spacing w:line="3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到2025年，力争新增徽菜连锁企业3家，新增徽菜餐饮连锁店6家。</w:t>
            </w:r>
          </w:p>
        </w:tc>
        <w:tc>
          <w:tcPr>
            <w:tcW w:w="1258" w:type="dxa"/>
            <w:noWrap w:val="0"/>
            <w:vAlign w:val="center"/>
          </w:tcPr>
          <w:p w14:paraId="6F46785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区商务和外事局、区文旅局</w:t>
            </w:r>
          </w:p>
        </w:tc>
      </w:tr>
    </w:tbl>
    <w:p w14:paraId="2AC46955">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b/>
          <w:bCs/>
          <w:snapToGrid/>
          <w:kern w:val="0"/>
          <w:sz w:val="32"/>
          <w:szCs w:val="32"/>
          <w:shd w:val="clear" w:color="auto" w:fill="FFFFFF"/>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p>
    <w:p w14:paraId="2F6540B3">
      <w:pPr>
        <w:widowControl w:val="0"/>
        <w:kinsoku/>
        <w:autoSpaceDE/>
        <w:autoSpaceDN/>
        <w:adjustRightInd/>
        <w:snapToGrid/>
        <w:spacing w:line="560" w:lineRule="exact"/>
        <w:jc w:val="both"/>
        <w:textAlignment w:val="auto"/>
        <w:rPr>
          <w:rStyle w:val="15"/>
          <w:rFonts w:hint="default" w:ascii="Times New Roman" w:hAnsi="Times New Roman" w:eastAsia="黑体" w:cs="Times New Roman"/>
          <w:snapToGrid/>
          <w:color w:val="000000"/>
          <w:kern w:val="2"/>
          <w:sz w:val="44"/>
          <w:szCs w:val="44"/>
          <w:lang w:val="en-US" w:eastAsia="zh-CN" w:bidi="ar-SA"/>
        </w:rPr>
      </w:pPr>
      <w:r>
        <w:rPr>
          <w:rStyle w:val="15"/>
          <w:rFonts w:hint="default" w:ascii="Times New Roman" w:hAnsi="Times New Roman" w:eastAsia="黑体" w:cs="Times New Roman"/>
          <w:snapToGrid/>
          <w:color w:val="000000"/>
          <w:kern w:val="2"/>
          <w:sz w:val="32"/>
          <w:szCs w:val="32"/>
          <w:lang w:val="en-US" w:eastAsia="zh-CN" w:bidi="ar-SA"/>
        </w:rPr>
        <w:t>附件4</w:t>
      </w:r>
    </w:p>
    <w:p w14:paraId="00460E9D">
      <w:pPr>
        <w:widowControl w:val="0"/>
        <w:kinsoku/>
        <w:autoSpaceDE/>
        <w:autoSpaceDN/>
        <w:adjustRightInd/>
        <w:snapToGrid/>
        <w:spacing w:line="560" w:lineRule="exact"/>
        <w:jc w:val="center"/>
        <w:textAlignment w:val="auto"/>
        <w:rPr>
          <w:rStyle w:val="15"/>
          <w:rFonts w:hint="default" w:ascii="Times New Roman" w:hAnsi="Times New Roman" w:eastAsia="方正小标宋_GBK" w:cs="Times New Roman"/>
          <w:snapToGrid/>
          <w:color w:val="000000"/>
          <w:kern w:val="2"/>
          <w:sz w:val="44"/>
          <w:szCs w:val="44"/>
          <w:lang w:val="en-US" w:eastAsia="zh-CN" w:bidi="ar-SA"/>
        </w:rPr>
      </w:pPr>
    </w:p>
    <w:p w14:paraId="21D0A9B6">
      <w:pPr>
        <w:widowControl w:val="0"/>
        <w:kinsoku/>
        <w:autoSpaceDE/>
        <w:autoSpaceDN/>
        <w:adjustRightInd/>
        <w:snapToGrid/>
        <w:spacing w:line="560" w:lineRule="exact"/>
        <w:jc w:val="center"/>
        <w:textAlignment w:val="auto"/>
        <w:rPr>
          <w:rStyle w:val="15"/>
          <w:rFonts w:hint="default" w:ascii="Times New Roman" w:hAnsi="Times New Roman" w:eastAsia="方正小标宋_GBK" w:cs="Times New Roman"/>
          <w:snapToGrid/>
          <w:color w:val="000000"/>
          <w:kern w:val="2"/>
          <w:sz w:val="44"/>
          <w:szCs w:val="44"/>
          <w:lang w:val="en-US" w:eastAsia="zh-CN" w:bidi="ar-SA"/>
        </w:rPr>
      </w:pPr>
      <w:r>
        <w:rPr>
          <w:rStyle w:val="15"/>
          <w:rFonts w:hint="default" w:ascii="Times New Roman" w:hAnsi="Times New Roman" w:eastAsia="方正小标宋_GBK" w:cs="Times New Roman"/>
          <w:snapToGrid/>
          <w:color w:val="000000"/>
          <w:kern w:val="2"/>
          <w:sz w:val="44"/>
          <w:szCs w:val="44"/>
          <w:lang w:val="en-US" w:eastAsia="zh-CN" w:bidi="ar-SA"/>
        </w:rPr>
        <w:t>龙子湖区老年助餐行动方案</w:t>
      </w:r>
    </w:p>
    <w:p w14:paraId="175D7E78">
      <w:pPr>
        <w:widowControl/>
        <w:kinsoku/>
        <w:autoSpaceDE/>
        <w:autoSpaceDN/>
        <w:adjustRightInd w:val="0"/>
        <w:snapToGrid w:val="0"/>
        <w:spacing w:line="560" w:lineRule="exact"/>
        <w:jc w:val="both"/>
        <w:textAlignment w:val="auto"/>
        <w:rPr>
          <w:rFonts w:hint="default" w:ascii="Times New Roman" w:hAnsi="Times New Roman" w:cs="Times New Roman" w:eastAsiaTheme="minorEastAsia"/>
          <w:snapToGrid/>
          <w:kern w:val="2"/>
          <w:szCs w:val="24"/>
          <w:lang w:val="en-US" w:eastAsia="zh-CN" w:bidi="ar-SA"/>
        </w:rPr>
      </w:pPr>
    </w:p>
    <w:p w14:paraId="46C8A7C1">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为贯彻落实省委、省政府“全省暖民心行动工作部署推进会议”精神和市级文件要求，健全老年人关爱服务体系，更好满足老年人多层次多样化的就餐服务需求，高质量完成老年助餐服务目标任务，制定如下实施方案。</w:t>
      </w:r>
    </w:p>
    <w:p w14:paraId="085CE9A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一、工作目标</w:t>
      </w:r>
    </w:p>
    <w:p w14:paraId="5C2B333A">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龙子湖区城区目前有1个乡、6个街道，计划每个街道都要建设运营一座面积不低于100平方米的社区老年中心食堂。</w:t>
      </w:r>
    </w:p>
    <w:p w14:paraId="667E3707">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6个街道下属社区除食堂坐在社区外，共28个社区每个社区都要提供一处不低于30平方米的助餐点开展助餐服务。</w:t>
      </w:r>
    </w:p>
    <w:p w14:paraId="7D6ED07F">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李楼乡选择4个村也要各提供一处不低于30平方米的助餐点开展助餐服务。</w:t>
      </w:r>
    </w:p>
    <w:p w14:paraId="69313CC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二、工作措施</w:t>
      </w:r>
    </w:p>
    <w:p w14:paraId="6F43B83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（一）整合资源、放开市场</w:t>
      </w:r>
    </w:p>
    <w:p w14:paraId="5BCC55AB">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各乡、街道要充分整合现有的社区居家养老服务中心（站）、老年人活动中心、养老机构（含：敬老院）等国有、集体和社会服务资源统筹规划和布局老年人助餐服务机构和服务网络。通过招商引资、公开招标、市场准入等方式引入社会力量建设和运营老年助餐机构，鼓励发展有利于老年人就餐服务的公建公营、公建民 营、股份制等经营模式。支持连锁餐饮企业社区门店设置老年助餐专区或参与老人餐配送，支持社区养老机构或辖区单位食堂等将内部优质餐饮服务向周边社区延伸。</w:t>
      </w:r>
    </w:p>
    <w:p w14:paraId="0853A0F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（二）强化制度，明确补贴</w:t>
      </w:r>
    </w:p>
    <w:p w14:paraId="64D753D1">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结合本区实际，制定出台统一的养老“助餐工程”建设补贴、机构运营补贴和针对老年人的助餐补贴政策。坚持广覆盖、保基本、可持续的原则，以保障空巢、独居、孤寡、高龄、失独、失能等特殊困难老年人需求为重点，面向全体老年人提供助餐配餐服务，构建全覆盖的助餐服务网络。</w:t>
      </w:r>
    </w:p>
    <w:p w14:paraId="6E066DE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（三）建立助餐服务数字化、信息化平台</w:t>
      </w:r>
    </w:p>
    <w:p w14:paraId="6051476B">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加强我区现有养老服务平台与老年人助餐服务信息对接。可通过老年人助餐卡(实体卡或电子卡)、指纹检索、面部识别等方式，加强老年人助餐服务及补贴管理。鼓励实现网上点餐、手机点餐、电话点餐等多种方式点餐。</w:t>
      </w:r>
    </w:p>
    <w:p w14:paraId="4EC2C9D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（四）加强宣传，积极推广</w:t>
      </w:r>
    </w:p>
    <w:p w14:paraId="6AD64B80">
      <w:pPr>
        <w:widowControl/>
        <w:kinsoku/>
        <w:autoSpaceDE/>
        <w:autoSpaceDN/>
        <w:adjustRightInd w:val="0"/>
        <w:snapToGrid w:val="0"/>
        <w:spacing w:line="560" w:lineRule="exact"/>
        <w:ind w:firstLine="640" w:firstLineChars="200"/>
        <w:jc w:val="both"/>
        <w:textAlignment w:val="auto"/>
        <w:rPr>
          <w:rFonts w:hint="default" w:ascii="Times New Roman" w:hAnsi="Times New Roman" w:eastAsia="仿宋_GB2312"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lang w:val="en-US" w:eastAsia="zh-CN" w:bidi="ar-SA"/>
        </w:rPr>
        <w:t>建立宣传联动机制，利用报纸、电视、网络、微信、微博等加大宣传，利用现有民政专栏等宣传阵地进行专题报道，并公布提供老年人助餐服务的中央厨房、社区食堂和小区助餐点的位置和就餐信息。通过社区（村）居委会、社区居家养老服务站、社区网格员、为老服务机构等，借助居家服务、上门探访、志愿服务等契机宣传推广助餐配餐服务，深入社区、入户走访开展宣传，确保政策宣传到每个社区、每户、每个老年人，提高助餐配餐服务知晓率。</w:t>
      </w:r>
      <w:r>
        <w:rPr>
          <w:rFonts w:hint="default" w:ascii="Times New Roman" w:hAnsi="Times New Roman" w:eastAsia="仿宋_GB2312" w:cs="Times New Roman"/>
          <w:snapToGrid/>
          <w:kern w:val="2"/>
          <w:sz w:val="32"/>
          <w:szCs w:val="32"/>
          <w:shd w:val="clear" w:color="auto" w:fill="FFFFFF"/>
          <w:lang w:val="en-US" w:eastAsia="zh-CN" w:bidi="ar-SA"/>
        </w:rPr>
        <w:t xml:space="preserve"> </w:t>
      </w:r>
    </w:p>
    <w:p w14:paraId="023BFF6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三、完善监督管理</w:t>
      </w:r>
    </w:p>
    <w:p w14:paraId="36444E73">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（一）拟开设社区食堂的助餐机构必须具备独立法人资格、食品经营许可、消防安全等资质，有合作意向的向街道申请，和街道达成合作意见后，告知区民政局。</w:t>
      </w:r>
    </w:p>
    <w:p w14:paraId="05DA6B17">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（二）开设社区食堂时，区民政局要指导乡街和村居与助餐机构签订服务协议,明确食品安全、配送流程、服务价格、服务补贴等事项。</w:t>
      </w:r>
    </w:p>
    <w:p w14:paraId="47098428">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（三）社区食堂要上墙公示食品经营许可证、工作时间、每周食谱、收费标准和管理制度等。区民政局负责统一悬挂社区食堂标识。</w:t>
      </w:r>
    </w:p>
    <w:p w14:paraId="1C379D68">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（四）社区老年食堂、社区老年助餐点建设标准符合市民政局要求，可以给予一次性建设补贴。</w:t>
      </w:r>
    </w:p>
    <w:p w14:paraId="2436FF9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四、实施步骤</w:t>
      </w:r>
    </w:p>
    <w:p w14:paraId="5082BFB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（一）谋划阶段（2022年6月底前）</w:t>
      </w:r>
    </w:p>
    <w:p w14:paraId="377789D8">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各乡街、社区中心以现有社区居家养老服务站点、养老机构等设施为基础，整合社会资源，多渠道统筹解决社区老年助餐服务场所，制定本辖区老年助餐行动方案，明确选址布局、建设时限、责任人等。区民政局联合相关部门对各乡街、社区中心的实施方案进行审核。</w:t>
      </w:r>
    </w:p>
    <w:p w14:paraId="2169713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（二）建设阶段（2022年9月底前）</w:t>
      </w:r>
    </w:p>
    <w:p w14:paraId="5CBAF045">
      <w:pPr>
        <w:widowControl/>
        <w:kinsoku/>
        <w:autoSpaceDE/>
        <w:autoSpaceDN/>
        <w:adjustRightInd w:val="0"/>
        <w:snapToGrid w:val="0"/>
        <w:spacing w:line="560" w:lineRule="exact"/>
        <w:ind w:firstLine="640" w:firstLineChars="200"/>
        <w:jc w:val="both"/>
        <w:textAlignment w:val="auto"/>
        <w:rPr>
          <w:rFonts w:hint="default" w:ascii="Times New Roman" w:hAnsi="Times New Roman" w:eastAsia="仿宋_GB2312"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lang w:val="en-US" w:eastAsia="zh-CN" w:bidi="ar-SA"/>
        </w:rPr>
        <w:t>各乡街、社区中心按照审核后的方案启动实施，对需要自建的老年食堂和助餐点，按相关规范要求序时推进建设工作；对采取社会力量参与建设、运营的老年食堂和助餐点，加快与相关单位对接，按序时进度完成改造工作，落实市场化运作模式。</w:t>
      </w:r>
    </w:p>
    <w:p w14:paraId="1C95C56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（三）运营阶段（2022年11月底前）</w:t>
      </w:r>
    </w:p>
    <w:p w14:paraId="068439E2">
      <w:pPr>
        <w:widowControl w:val="0"/>
        <w:kinsoku/>
        <w:autoSpaceDE/>
        <w:autoSpaceDN/>
        <w:adjustRightInd w:val="0"/>
        <w:snapToGrid w:val="0"/>
        <w:spacing w:line="560" w:lineRule="exact"/>
        <w:ind w:firstLine="640" w:firstLineChars="200"/>
        <w:jc w:val="both"/>
        <w:textAlignment w:val="auto"/>
        <w:rPr>
          <w:rFonts w:hint="default" w:ascii="Times New Roman" w:hAnsi="Times New Roman" w:eastAsia="仿宋_GB2312"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lang w:val="en-US" w:eastAsia="zh-CN" w:bidi="ar-SA"/>
        </w:rPr>
        <w:t>各乡街、社区中心结合本辖区老年食堂和助餐点的建设方式、需求特点，确定符合实际的助餐配餐服务运营模式，并对外开放营业。</w:t>
      </w:r>
    </w:p>
    <w:p w14:paraId="3A59FCCB">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（四）督查阶段（2022年6月-2022年12月底前）</w:t>
      </w:r>
    </w:p>
    <w:p w14:paraId="02C7F990">
      <w:pPr>
        <w:widowControl w:val="0"/>
        <w:kinsoku/>
        <w:autoSpaceDE/>
        <w:autoSpaceDN/>
        <w:adjustRightInd w:val="0"/>
        <w:snapToGrid w:val="0"/>
        <w:spacing w:line="560" w:lineRule="exact"/>
        <w:ind w:firstLine="640" w:firstLineChars="200"/>
        <w:jc w:val="both"/>
        <w:textAlignment w:val="auto"/>
        <w:rPr>
          <w:rFonts w:hint="default" w:ascii="Times New Roman" w:hAnsi="Times New Roman" w:eastAsia="仿宋_GB2312"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lang w:val="en-US" w:eastAsia="zh-CN" w:bidi="ar-SA"/>
        </w:rPr>
        <w:t>各乡街、社区中心每月将老年食堂和助餐点建设进展、完成情况报区民政局。区民政局组织相关部门定期进行督查，定期统计、通报各乡街、社区中心工作开展情况。</w:t>
      </w:r>
    </w:p>
    <w:p w14:paraId="5AF1DEA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 xml:space="preserve">五、保障措施 </w:t>
      </w:r>
    </w:p>
    <w:p w14:paraId="3E320FCF">
      <w:pPr>
        <w:widowControl/>
        <w:kinsoku/>
        <w:autoSpaceDE/>
        <w:autoSpaceDN/>
        <w:adjustRightInd w:val="0"/>
        <w:snapToGrid w:val="0"/>
        <w:spacing w:line="56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（一）加强组织领导。</w:t>
      </w:r>
      <w:r>
        <w:rPr>
          <w:rFonts w:hint="default" w:ascii="Times New Roman" w:hAnsi="Times New Roman" w:eastAsia="方正仿宋_GBK" w:cs="Times New Roman"/>
          <w:snapToGrid/>
          <w:kern w:val="2"/>
          <w:sz w:val="32"/>
          <w:szCs w:val="32"/>
          <w:lang w:val="en-US" w:eastAsia="zh-CN" w:bidi="ar-SA"/>
        </w:rPr>
        <w:t>要建立完善民政、财政、市场监管、自然资源和规划、住建等部门的联动工作机制，各级居家和社区养老服务改革试点工作领导小组成员单位，要按照部门职责配合做好相关工作，加强统筹协调督促推进。</w:t>
      </w:r>
    </w:p>
    <w:p w14:paraId="54F878E2">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（二）加大扶持力度。</w:t>
      </w:r>
      <w:r>
        <w:rPr>
          <w:rFonts w:hint="default" w:ascii="Times New Roman" w:hAnsi="Times New Roman" w:eastAsia="方正仿宋_GBK" w:cs="Times New Roman"/>
          <w:snapToGrid/>
          <w:kern w:val="2"/>
          <w:sz w:val="32"/>
          <w:szCs w:val="32"/>
          <w:lang w:val="en-US" w:eastAsia="zh-CN" w:bidi="ar-SA"/>
        </w:rPr>
        <w:t xml:space="preserve">出台助餐人次补贴政策和运营补贴政策，保障老年助餐机构持续健康发展。探索建立慈善 </w:t>
      </w:r>
    </w:p>
    <w:p w14:paraId="01DEA8A5">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 xml:space="preserve">资金支持助餐配餐服务长效机制，鼓励探索通过慈善冠名、 </w:t>
      </w:r>
    </w:p>
    <w:p w14:paraId="6F64DF61">
      <w:pPr>
        <w:keepNext w:val="0"/>
        <w:keepLines w:val="0"/>
        <w:pageBreakBefore w:val="0"/>
        <w:widowControl/>
        <w:kinsoku/>
        <w:wordWrap/>
        <w:overflowPunct/>
        <w:topLinePunct w:val="0"/>
        <w:autoSpaceDE/>
        <w:autoSpaceDN/>
        <w:bidi w:val="0"/>
        <w:adjustRightInd w:val="0"/>
        <w:snapToGrid w:val="0"/>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授牌等方式支持市场主体、品牌餐饮企业参与“助餐工程”建设和服务的新模式。积极培育连锁化、专业化、品牌化的社区居家养老服务餐饮企业和机构。</w:t>
      </w:r>
    </w:p>
    <w:p w14:paraId="43CF657A">
      <w:pPr>
        <w:widowControl/>
        <w:numPr>
          <w:ilvl w:val="0"/>
          <w:numId w:val="0"/>
        </w:numPr>
        <w:adjustRightInd w:val="0"/>
        <w:snapToGrid w:val="0"/>
        <w:spacing w:line="560" w:lineRule="exact"/>
        <w:ind w:firstLine="640" w:firstLineChars="200"/>
        <w:rPr>
          <w:rFonts w:hint="default" w:ascii="Times New Roman" w:hAnsi="Times New Roman" w:eastAsia="方正仿宋_GBK" w:cs="Times New Roman"/>
          <w:sz w:val="32"/>
          <w:szCs w:val="32"/>
        </w:rPr>
        <w:sectPr>
          <w:pgSz w:w="11850" w:h="16783"/>
          <w:pgMar w:top="1440" w:right="1800" w:bottom="1440" w:left="1800" w:header="851" w:footer="992" w:gutter="0"/>
          <w:pgNumType w:fmt="numberInDash"/>
          <w:cols w:space="720" w:num="1"/>
          <w:docGrid w:type="lines" w:linePitch="312" w:charSpace="0"/>
        </w:sectPr>
      </w:pPr>
      <w:r>
        <w:rPr>
          <w:rFonts w:hint="default" w:ascii="Times New Roman" w:hAnsi="Times New Roman" w:eastAsia="方正楷体_GBK" w:cs="Times New Roman"/>
          <w:b w:val="0"/>
          <w:bCs w:val="0"/>
          <w:snapToGrid/>
          <w:kern w:val="2"/>
          <w:sz w:val="32"/>
          <w:szCs w:val="32"/>
          <w:lang w:val="en-US" w:eastAsia="zh-CN" w:bidi="ar-SA"/>
        </w:rPr>
        <w:t>（三）鼓励探索创新。</w:t>
      </w:r>
      <w:r>
        <w:rPr>
          <w:rFonts w:hint="default" w:ascii="Times New Roman" w:hAnsi="Times New Roman" w:eastAsia="方正仿宋_GBK" w:cs="Times New Roman"/>
          <w:snapToGrid/>
          <w:kern w:val="2"/>
          <w:sz w:val="32"/>
          <w:szCs w:val="32"/>
          <w:lang w:val="en-US" w:eastAsia="zh-CN" w:bidi="ar-SA"/>
        </w:rPr>
        <w:t>乡街根据自身实际，发挥比较优势，大胆探索符合本辖区实际的“助餐工程”优化发展路径，创造一批各具特色的典型经验和先进做法，为推动全区“助餐工程”优化发展提供经验。</w:t>
      </w:r>
    </w:p>
    <w:p w14:paraId="65CD846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附件5</w:t>
      </w:r>
    </w:p>
    <w:p w14:paraId="3547EFE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p>
    <w:p w14:paraId="6BA6FAFC">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龙子湖区健康口腔行动方案</w:t>
      </w:r>
    </w:p>
    <w:p w14:paraId="06F052DE">
      <w:pPr>
        <w:keepNext w:val="0"/>
        <w:keepLines w:val="0"/>
        <w:pageBreakBefore w:val="0"/>
        <w:widowControl w:val="0"/>
        <w:kinsoku/>
        <w:wordWrap/>
        <w:overflowPunct/>
        <w:topLinePunct w:val="0"/>
        <w:autoSpaceDE/>
        <w:autoSpaceDN/>
        <w:bidi w:val="0"/>
        <w:adjustRightInd/>
        <w:snapToGrid/>
        <w:spacing w:line="590" w:lineRule="exact"/>
        <w:ind w:firstLine="880" w:firstLineChars="200"/>
        <w:jc w:val="center"/>
        <w:textAlignment w:val="auto"/>
        <w:rPr>
          <w:rFonts w:hint="default" w:ascii="Times New Roman" w:hAnsi="Times New Roman" w:eastAsia="方正小标宋简体" w:cs="Times New Roman"/>
          <w:snapToGrid/>
          <w:kern w:val="2"/>
          <w:sz w:val="44"/>
          <w:szCs w:val="44"/>
          <w:lang w:val="en-US" w:eastAsia="zh-CN" w:bidi="ar-SA"/>
        </w:rPr>
      </w:pPr>
    </w:p>
    <w:p w14:paraId="2DEC812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为提升群众口腔健康意识和行为能力，进一步加强健康口腔工作，根据《安徽省健康口腔行动方案》，结合我区实际，制定本方案。</w:t>
      </w:r>
    </w:p>
    <w:p w14:paraId="36FE36E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一、目标任务</w:t>
      </w:r>
    </w:p>
    <w:p w14:paraId="1948C16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2022年底前，6-9岁人群口腔卫生知识知晓率达到80%，窝沟封闭完好率达到85%。</w:t>
      </w:r>
    </w:p>
    <w:p w14:paraId="4F1FB40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2023年底前，40%的社区卫生服务中心、乡卫生院配备专职口腔医师；每万人口口腔执业（助理）医师数达到1.62人，医护比达到1:1。</w:t>
      </w:r>
    </w:p>
    <w:p w14:paraId="328C895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2025年底前，打造成居民15分钟口腔健康服务圈；80%的社区卫生服务中心、乡卫生院配备专职口腔医师；每万人人口口腔执业（助理）医师达到1.8人，医护比达到1:1.1；6-9岁人群口腔卫生知识知晓率达到85%以上，窝沟封闭完好率达到90%以上；口腔医疗卫生机构患者满意度达到90%以上；人群口腔健康素养水平和健康行为形成率大幅提升，口腔健康服务覆盖全人群、全生命周期。</w:t>
      </w:r>
    </w:p>
    <w:p w14:paraId="504D892B">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二、工作措施</w:t>
      </w:r>
    </w:p>
    <w:p w14:paraId="7089B35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（一）加强健康教育</w:t>
      </w:r>
    </w:p>
    <w:p w14:paraId="18C8CE5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以“全国爱牙日”、“全民健康生活方式行动日”等健康主题宣传日为契机，将口腔健康教育集中宣传与日常宣传相结合；开展口腔卫生保健宣传进学校、进社区、进家庭活动，提高群众的知晓率和参与度，引导群众形成自主自律的健康生活方式，为健康口腔行动顺利推进营造良好舆论氛围。</w:t>
      </w:r>
    </w:p>
    <w:p w14:paraId="332847E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（二）开展多元化口腔健康服务</w:t>
      </w:r>
    </w:p>
    <w:p w14:paraId="3B092C49">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b/>
          <w:bCs/>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1.开展生命早期口腔健康服务</w:t>
      </w:r>
    </w:p>
    <w:p w14:paraId="0FCE265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将口腔健康知识作为婚前体检、孕产妇健康管理和孕妇学校课程重点内容，强化家长是孩子口腔健康第一责任人的理念，强化医疗保健人员和儿童养护人婴幼儿科学喂养知识和技能。</w:t>
      </w:r>
    </w:p>
    <w:p w14:paraId="48C770E9">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b/>
          <w:bCs/>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2.开展健康口腔进校园活动</w:t>
      </w:r>
    </w:p>
    <w:p w14:paraId="0530133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一是将口腔健康知识科普作为学校管理工作的重点内容。组织实施儿童口腔疾病综合干预项目，为小学二年级学龄儿童开展第一恒磨牙窝沟封闭活动，到2025年，项目覆盖28%的适龄儿童。</w:t>
      </w:r>
    </w:p>
    <w:p w14:paraId="2ADB96E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二是在全区中小学、幼儿园开展“口腔知识科普进校园”专项活动，开展规范化口腔教育推广和口腔健康知识讲座；为区内所属小学提供《儿童口腔科普手册》5000本。</w:t>
      </w:r>
    </w:p>
    <w:p w14:paraId="1CF2434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三是幼儿园和小学生每年享受免费口腔健康检查2次，中学每年享受免费口腔健康检查1次。</w:t>
      </w:r>
    </w:p>
    <w:p w14:paraId="3244697A">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b/>
          <w:bCs/>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3.开展老年人口腔健康管理</w:t>
      </w:r>
    </w:p>
    <w:p w14:paraId="40BFCA0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倡导老年人关注口腔健康与全身健康的关系，对高血压、糖尿病等老年慢性病患者，加强口腔健康管理，积极开展龋病、牙周疾病和口腔粘膜疾病防治、义齿修复等服务。</w:t>
      </w:r>
    </w:p>
    <w:p w14:paraId="0599D55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（三）加强口腔预防保健</w:t>
      </w:r>
    </w:p>
    <w:p w14:paraId="020B172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推动将口腔健康检查纳入常规体检项目，倡导定期接受口腔健康检查、预防性口腔洁治、早期治疗等口腔疾病防治服务。</w:t>
      </w:r>
    </w:p>
    <w:p w14:paraId="6D8EC22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（四）提升群众就医便捷</w:t>
      </w:r>
    </w:p>
    <w:p w14:paraId="6D30841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推动辖区综合医院口腔科开设午间门诊、晚间门诊，实施弹性排班，方便患者诊疗</w:t>
      </w:r>
      <w:r>
        <w:rPr>
          <w:rFonts w:hint="default" w:ascii="Times New Roman" w:hAnsi="Times New Roman" w:eastAsia="仿宋_GB2312" w:cs="Times New Roman"/>
          <w:snapToGrid/>
          <w:kern w:val="2"/>
          <w:sz w:val="32"/>
          <w:szCs w:val="32"/>
          <w:lang w:val="en-US" w:eastAsia="zh-CN" w:bidi="ar-SA"/>
        </w:rPr>
        <w:t>。</w:t>
      </w:r>
    </w:p>
    <w:p w14:paraId="2FF3198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（五）强化专业人员队伍建设</w:t>
      </w:r>
    </w:p>
    <w:p w14:paraId="3E4AA9BF">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1.增加口腔专业技术力量。</w:t>
      </w:r>
      <w:r>
        <w:rPr>
          <w:rFonts w:hint="default" w:ascii="Times New Roman" w:hAnsi="Times New Roman" w:eastAsia="方正仿宋_GBK" w:cs="Times New Roman"/>
          <w:snapToGrid/>
          <w:kern w:val="2"/>
          <w:sz w:val="32"/>
          <w:szCs w:val="32"/>
          <w:lang w:val="en-US" w:eastAsia="zh-CN" w:bidi="ar-SA"/>
        </w:rPr>
        <w:t>社区卫生服务中心、乡卫生院配备专职口腔医师，加强口腔专业人员保障，优化口腔医师招聘流程，强化薪酬激励，实现进得来、留得住。</w:t>
      </w:r>
    </w:p>
    <w:p w14:paraId="47948AC4">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2.加大口腔专业人员培训力度。</w:t>
      </w:r>
      <w:r>
        <w:rPr>
          <w:rFonts w:hint="default" w:ascii="Times New Roman" w:hAnsi="Times New Roman" w:eastAsia="方正仿宋_GBK" w:cs="Times New Roman"/>
          <w:snapToGrid/>
          <w:kern w:val="2"/>
          <w:sz w:val="32"/>
          <w:szCs w:val="32"/>
          <w:lang w:val="en-US" w:eastAsia="zh-CN" w:bidi="ar-SA"/>
        </w:rPr>
        <w:t>依托辖区蚌医一附院、蚌埠二院和蚌埠口腔医院等二级以上综合医院口腔科，每年开展1次基层口腔医护人员专业技术培训，提高基层口腔医护人员专业技术水平。</w:t>
      </w:r>
    </w:p>
    <w:p w14:paraId="4EC54CC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（六）加大行业监管力度</w:t>
      </w:r>
    </w:p>
    <w:p w14:paraId="4A186D4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压实行业主管部门监管责任，开展专项整治。2022年起，开展“诱导消费”、过度诊疗等社会反映强烈的不规范口腔诊疗行为专项整治，依法规范口腔诊疗服务行为。</w:t>
      </w:r>
    </w:p>
    <w:p w14:paraId="1A58524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三、保障措施</w:t>
      </w:r>
    </w:p>
    <w:p w14:paraId="0FEA1F6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（一）加强组织领导</w:t>
      </w:r>
    </w:p>
    <w:p w14:paraId="52BD369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仿宋"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完善协调机制，制定健康口腔行动计划，强化组织实施，统筹各方资源，逐步建立政府、社会多元化健康口腔服务机制，提高我区健康口腔行动的保障力度。</w:t>
      </w:r>
    </w:p>
    <w:p w14:paraId="752F71B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（二）完善体系建设</w:t>
      </w:r>
    </w:p>
    <w:p w14:paraId="0A8B61D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完善口腔服务规划体系，合理配置、均衡布局，打造居民15分钟口腔健康服务圈。</w:t>
      </w:r>
    </w:p>
    <w:p w14:paraId="26B9E48C">
      <w:pPr>
        <w:widowControl w:val="0"/>
        <w:kinsoku/>
        <w:autoSpaceDE/>
        <w:autoSpaceDN/>
        <w:adjustRightInd/>
        <w:snapToGrid/>
        <w:spacing w:line="560" w:lineRule="exact"/>
        <w:jc w:val="center"/>
        <w:textAlignment w:val="auto"/>
        <w:rPr>
          <w:rFonts w:hint="default" w:ascii="Times New Roman" w:hAnsi="Times New Roman" w:eastAsia="方正小标宋_GBK" w:cs="Times New Roman"/>
          <w:snapToGrid/>
          <w:kern w:val="2"/>
          <w:sz w:val="44"/>
          <w:szCs w:val="44"/>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p>
    <w:p w14:paraId="16DDB83E">
      <w:pPr>
        <w:widowControl w:val="0"/>
        <w:kinsoku/>
        <w:autoSpaceDE/>
        <w:autoSpaceDN/>
        <w:adjustRightInd/>
        <w:snapToGrid/>
        <w:spacing w:line="560" w:lineRule="exac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龙子湖区健康口腔重点任务分解表</w:t>
      </w:r>
    </w:p>
    <w:p w14:paraId="40CEA68E">
      <w:pPr>
        <w:widowControl w:val="0"/>
        <w:ind w:left="111" w:firstLine="631"/>
        <w:jc w:val="both"/>
        <w:rPr>
          <w:rFonts w:hint="default" w:ascii="Times New Roman" w:hAnsi="Times New Roman" w:cs="Times New Roman" w:eastAsiaTheme="minorEastAsia"/>
          <w:kern w:val="2"/>
          <w:sz w:val="21"/>
          <w:szCs w:val="20"/>
          <w:lang w:val="en-US" w:eastAsia="zh-CN" w:bidi="ar-SA"/>
        </w:rPr>
      </w:pPr>
    </w:p>
    <w:tbl>
      <w:tblPr>
        <w:tblStyle w:val="10"/>
        <w:tblpPr w:leftFromText="180" w:rightFromText="180" w:vertAnchor="text" w:horzAnchor="page" w:tblpX="1552" w:tblpY="380"/>
        <w:tblOverlap w:val="never"/>
        <w:tblW w:w="8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406"/>
        <w:gridCol w:w="1528"/>
        <w:gridCol w:w="1349"/>
      </w:tblGrid>
      <w:tr w14:paraId="257B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07" w:type="dxa"/>
            <w:shd w:val="clear" w:color="auto" w:fill="auto"/>
            <w:noWrap w:val="0"/>
            <w:vAlign w:val="center"/>
          </w:tcPr>
          <w:p w14:paraId="729C4A77">
            <w:pPr>
              <w:widowControl w:val="0"/>
              <w:kinsoku/>
              <w:autoSpaceDE/>
              <w:autoSpaceDN/>
              <w:adjustRightInd/>
              <w:snapToGrid/>
              <w:spacing w:line="56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序号</w:t>
            </w:r>
          </w:p>
        </w:tc>
        <w:tc>
          <w:tcPr>
            <w:tcW w:w="5406" w:type="dxa"/>
            <w:shd w:val="clear" w:color="auto" w:fill="auto"/>
            <w:noWrap w:val="0"/>
            <w:vAlign w:val="center"/>
          </w:tcPr>
          <w:p w14:paraId="23DFFCB9">
            <w:pPr>
              <w:widowControl w:val="0"/>
              <w:kinsoku/>
              <w:autoSpaceDE/>
              <w:autoSpaceDN/>
              <w:adjustRightInd/>
              <w:snapToGrid/>
              <w:spacing w:line="56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重点任务</w:t>
            </w:r>
          </w:p>
        </w:tc>
        <w:tc>
          <w:tcPr>
            <w:tcW w:w="1528" w:type="dxa"/>
            <w:noWrap w:val="0"/>
            <w:vAlign w:val="center"/>
          </w:tcPr>
          <w:p w14:paraId="62FC60EA">
            <w:pPr>
              <w:widowControl w:val="0"/>
              <w:kinsoku/>
              <w:autoSpaceDE/>
              <w:autoSpaceDN/>
              <w:adjustRightInd/>
              <w:snapToGrid/>
              <w:spacing w:line="56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时限要求</w:t>
            </w:r>
          </w:p>
        </w:tc>
        <w:tc>
          <w:tcPr>
            <w:tcW w:w="1349" w:type="dxa"/>
            <w:noWrap w:val="0"/>
            <w:vAlign w:val="center"/>
          </w:tcPr>
          <w:p w14:paraId="41E467B7">
            <w:pPr>
              <w:widowControl w:val="0"/>
              <w:kinsoku/>
              <w:autoSpaceDE/>
              <w:autoSpaceDN/>
              <w:adjustRightInd/>
              <w:snapToGrid/>
              <w:spacing w:line="56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责任单位</w:t>
            </w:r>
          </w:p>
        </w:tc>
      </w:tr>
      <w:tr w14:paraId="014A5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707" w:type="dxa"/>
            <w:shd w:val="clear" w:color="auto" w:fill="auto"/>
            <w:noWrap w:val="0"/>
            <w:vAlign w:val="center"/>
          </w:tcPr>
          <w:p w14:paraId="72941F70">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w:t>
            </w:r>
          </w:p>
        </w:tc>
        <w:tc>
          <w:tcPr>
            <w:tcW w:w="5406" w:type="dxa"/>
            <w:shd w:val="clear" w:color="auto" w:fill="auto"/>
            <w:noWrap w:val="0"/>
            <w:vAlign w:val="center"/>
          </w:tcPr>
          <w:p w14:paraId="3F541B8C">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加强健康教育，以“全国爱牙日”、“全民健康生活方式行动日”等健康主题宣传日为契机，将口腔健康教育集中宣传与日常宣传相结合；开展口腔卫生保健宣传进学校、进社区、进家庭活动。</w:t>
            </w:r>
          </w:p>
        </w:tc>
        <w:tc>
          <w:tcPr>
            <w:tcW w:w="1528" w:type="dxa"/>
            <w:noWrap w:val="0"/>
            <w:vAlign w:val="center"/>
          </w:tcPr>
          <w:p w14:paraId="3E6628E8">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每年度</w:t>
            </w:r>
          </w:p>
        </w:tc>
        <w:tc>
          <w:tcPr>
            <w:tcW w:w="1349" w:type="dxa"/>
            <w:noWrap w:val="0"/>
            <w:vAlign w:val="center"/>
          </w:tcPr>
          <w:p w14:paraId="70FCA236">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区卫生健康委牵头、区教体局、各乡街配合</w:t>
            </w:r>
          </w:p>
        </w:tc>
      </w:tr>
      <w:tr w14:paraId="02966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707" w:type="dxa"/>
            <w:shd w:val="clear" w:color="auto" w:fill="auto"/>
            <w:noWrap w:val="0"/>
            <w:vAlign w:val="center"/>
          </w:tcPr>
          <w:p w14:paraId="3215B45E">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w:t>
            </w:r>
          </w:p>
        </w:tc>
        <w:tc>
          <w:tcPr>
            <w:tcW w:w="5406" w:type="dxa"/>
            <w:shd w:val="clear" w:color="auto" w:fill="auto"/>
            <w:noWrap w:val="0"/>
            <w:vAlign w:val="center"/>
          </w:tcPr>
          <w:p w14:paraId="36852776">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开展儿童口腔疾病干预项目；到2025年，项目覆盖28%的适龄儿童。</w:t>
            </w:r>
          </w:p>
        </w:tc>
        <w:tc>
          <w:tcPr>
            <w:tcW w:w="1528" w:type="dxa"/>
            <w:noWrap w:val="0"/>
            <w:vAlign w:val="center"/>
          </w:tcPr>
          <w:p w14:paraId="22BCD129">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2025年底前</w:t>
            </w:r>
          </w:p>
        </w:tc>
        <w:tc>
          <w:tcPr>
            <w:tcW w:w="1349" w:type="dxa"/>
            <w:noWrap w:val="0"/>
            <w:vAlign w:val="center"/>
          </w:tcPr>
          <w:p w14:paraId="5628D39D">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区卫生健康委牵头，区教体局、区财政局配合</w:t>
            </w:r>
          </w:p>
        </w:tc>
      </w:tr>
      <w:tr w14:paraId="421F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0" w:hRule="atLeast"/>
        </w:trPr>
        <w:tc>
          <w:tcPr>
            <w:tcW w:w="707" w:type="dxa"/>
            <w:shd w:val="clear" w:color="auto" w:fill="auto"/>
            <w:noWrap w:val="0"/>
            <w:vAlign w:val="center"/>
          </w:tcPr>
          <w:p w14:paraId="618A8422">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3</w:t>
            </w:r>
          </w:p>
        </w:tc>
        <w:tc>
          <w:tcPr>
            <w:tcW w:w="5406" w:type="dxa"/>
            <w:shd w:val="clear" w:color="auto" w:fill="auto"/>
            <w:noWrap w:val="0"/>
            <w:vAlign w:val="center"/>
          </w:tcPr>
          <w:p w14:paraId="07E864E0">
            <w:pPr>
              <w:widowControl/>
              <w:shd w:val="clear" w:color="auto" w:fill="FFFFFF"/>
              <w:spacing w:before="0" w:beforeAutospacing="0" w:after="0" w:afterAutospacing="0" w:line="560" w:lineRule="exact"/>
              <w:ind w:left="0" w:right="0"/>
              <w:jc w:val="both"/>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2"/>
                <w:sz w:val="24"/>
                <w:szCs w:val="24"/>
                <w:lang w:val="en-US" w:eastAsia="zh-CN" w:bidi="ar-SA"/>
              </w:rPr>
              <w:t>在全区中小学、幼儿园开展“口腔知识科普进校园”专项活动，开展规范化口腔教育推广和口腔健康知识讲座。幼儿园和小学生每年享受免费口腔健康检查2次，中学每年享受免费口腔健康检查1次。</w:t>
            </w:r>
          </w:p>
        </w:tc>
        <w:tc>
          <w:tcPr>
            <w:tcW w:w="1528" w:type="dxa"/>
            <w:shd w:val="clear" w:color="auto" w:fill="auto"/>
            <w:noWrap w:val="0"/>
            <w:vAlign w:val="center"/>
          </w:tcPr>
          <w:p w14:paraId="6B3DD056">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每年度</w:t>
            </w:r>
          </w:p>
        </w:tc>
        <w:tc>
          <w:tcPr>
            <w:tcW w:w="1349" w:type="dxa"/>
            <w:noWrap w:val="0"/>
            <w:vAlign w:val="center"/>
          </w:tcPr>
          <w:p w14:paraId="4C5F0B41">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区卫生健康委牵头，区教体局、区财政局配合</w:t>
            </w:r>
          </w:p>
        </w:tc>
      </w:tr>
      <w:tr w14:paraId="589E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707" w:type="dxa"/>
            <w:shd w:val="clear" w:color="auto" w:fill="auto"/>
            <w:noWrap w:val="0"/>
            <w:vAlign w:val="center"/>
          </w:tcPr>
          <w:p w14:paraId="7EFF1D2C">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4</w:t>
            </w:r>
          </w:p>
        </w:tc>
        <w:tc>
          <w:tcPr>
            <w:tcW w:w="5406" w:type="dxa"/>
            <w:shd w:val="clear" w:color="auto" w:fill="auto"/>
            <w:noWrap w:val="0"/>
            <w:vAlign w:val="center"/>
          </w:tcPr>
          <w:p w14:paraId="34341AAF">
            <w:pPr>
              <w:widowControl/>
              <w:shd w:val="clear" w:color="auto" w:fill="FFFFFF"/>
              <w:spacing w:before="0" w:beforeAutospacing="0" w:after="0" w:afterAutospacing="0" w:line="560" w:lineRule="exact"/>
              <w:ind w:left="0" w:right="0"/>
              <w:jc w:val="left"/>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2"/>
                <w:sz w:val="24"/>
                <w:szCs w:val="24"/>
                <w:lang w:val="en-US" w:eastAsia="zh-CN" w:bidi="ar-SA"/>
              </w:rPr>
              <w:t>开展生命早期口腔健康服务，将口腔健康知识作为婚前体检、孕产妇健康管理和孕妇学校课程重点内容。</w:t>
            </w:r>
          </w:p>
        </w:tc>
        <w:tc>
          <w:tcPr>
            <w:tcW w:w="1528" w:type="dxa"/>
            <w:noWrap w:val="0"/>
            <w:vAlign w:val="center"/>
          </w:tcPr>
          <w:p w14:paraId="6DB56D0B">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每年度</w:t>
            </w:r>
          </w:p>
        </w:tc>
        <w:tc>
          <w:tcPr>
            <w:tcW w:w="1349" w:type="dxa"/>
            <w:noWrap w:val="0"/>
            <w:vAlign w:val="center"/>
          </w:tcPr>
          <w:p w14:paraId="544EB7BD">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区卫生健康委</w:t>
            </w:r>
          </w:p>
        </w:tc>
      </w:tr>
      <w:tr w14:paraId="7DB63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707" w:type="dxa"/>
            <w:shd w:val="clear" w:color="auto" w:fill="auto"/>
            <w:noWrap w:val="0"/>
            <w:vAlign w:val="center"/>
          </w:tcPr>
          <w:p w14:paraId="657E02FD">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5</w:t>
            </w:r>
          </w:p>
        </w:tc>
        <w:tc>
          <w:tcPr>
            <w:tcW w:w="5406" w:type="dxa"/>
            <w:shd w:val="clear" w:color="auto" w:fill="auto"/>
            <w:noWrap w:val="0"/>
            <w:vAlign w:val="center"/>
          </w:tcPr>
          <w:p w14:paraId="668E1144">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提升群众就医便捷度。推动辖区综合医院口腔科开设午间门诊、晚间门诊，实施弹性排班，方便患者诊疗。</w:t>
            </w:r>
          </w:p>
        </w:tc>
        <w:tc>
          <w:tcPr>
            <w:tcW w:w="1528" w:type="dxa"/>
            <w:noWrap w:val="0"/>
            <w:vAlign w:val="center"/>
          </w:tcPr>
          <w:p w14:paraId="0B81B720">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2023年底前</w:t>
            </w:r>
          </w:p>
        </w:tc>
        <w:tc>
          <w:tcPr>
            <w:tcW w:w="1349" w:type="dxa"/>
            <w:noWrap w:val="0"/>
            <w:vAlign w:val="center"/>
          </w:tcPr>
          <w:p w14:paraId="7D61BE99">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区卫生健康委</w:t>
            </w:r>
          </w:p>
          <w:p w14:paraId="11E306F9">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p>
        </w:tc>
      </w:tr>
      <w:tr w14:paraId="01FFA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shd w:val="clear" w:color="auto" w:fill="auto"/>
            <w:noWrap w:val="0"/>
            <w:vAlign w:val="center"/>
          </w:tcPr>
          <w:p w14:paraId="62571365">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6</w:t>
            </w:r>
          </w:p>
        </w:tc>
        <w:tc>
          <w:tcPr>
            <w:tcW w:w="5406" w:type="dxa"/>
            <w:shd w:val="clear" w:color="auto" w:fill="auto"/>
            <w:noWrap w:val="0"/>
            <w:vAlign w:val="center"/>
          </w:tcPr>
          <w:p w14:paraId="12A5B5FB">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增加口腔专业技术力量，社区卫生服务中心、乡卫生院配备专职口腔医师，加强口腔专业人员保障，优化口腔医师招聘流程，强化薪酬激励，实现进得来、留得住。增强口腔专业技术力量。</w:t>
            </w:r>
          </w:p>
        </w:tc>
        <w:tc>
          <w:tcPr>
            <w:tcW w:w="1528" w:type="dxa"/>
            <w:noWrap w:val="0"/>
            <w:vAlign w:val="center"/>
          </w:tcPr>
          <w:p w14:paraId="0EF93DF4">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2025年底前，每万人人口口腔执业（助理）医师达到1.8人，医护比达到1:1.1。</w:t>
            </w:r>
          </w:p>
        </w:tc>
        <w:tc>
          <w:tcPr>
            <w:tcW w:w="1349" w:type="dxa"/>
            <w:noWrap w:val="0"/>
            <w:vAlign w:val="center"/>
          </w:tcPr>
          <w:p w14:paraId="054B8CD2">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区卫生健康委牵头，区教体局、区人社局配合</w:t>
            </w:r>
          </w:p>
        </w:tc>
      </w:tr>
      <w:tr w14:paraId="6DDD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6" w:hRule="atLeast"/>
        </w:trPr>
        <w:tc>
          <w:tcPr>
            <w:tcW w:w="707" w:type="dxa"/>
            <w:shd w:val="clear" w:color="auto" w:fill="auto"/>
            <w:noWrap w:val="0"/>
            <w:vAlign w:val="center"/>
          </w:tcPr>
          <w:p w14:paraId="7B29E5E5">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7</w:t>
            </w:r>
          </w:p>
        </w:tc>
        <w:tc>
          <w:tcPr>
            <w:tcW w:w="5406" w:type="dxa"/>
            <w:shd w:val="clear" w:color="auto" w:fill="auto"/>
            <w:noWrap w:val="0"/>
            <w:vAlign w:val="center"/>
          </w:tcPr>
          <w:p w14:paraId="5738CE65">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加大口腔专业人员培训力度。依托辖区蚌医一附院、蚌埠二院和蚌埠口腔医院等二级以上综合医院口腔科，每年开展1次基层口腔医护人员专业技术培训。</w:t>
            </w:r>
          </w:p>
        </w:tc>
        <w:tc>
          <w:tcPr>
            <w:tcW w:w="1528" w:type="dxa"/>
            <w:noWrap w:val="0"/>
            <w:vAlign w:val="center"/>
          </w:tcPr>
          <w:p w14:paraId="223F7436">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每年度</w:t>
            </w:r>
          </w:p>
        </w:tc>
        <w:tc>
          <w:tcPr>
            <w:tcW w:w="1349" w:type="dxa"/>
            <w:noWrap w:val="0"/>
            <w:vAlign w:val="center"/>
          </w:tcPr>
          <w:p w14:paraId="6F974DA3">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区卫生健康委</w:t>
            </w:r>
          </w:p>
        </w:tc>
      </w:tr>
      <w:tr w14:paraId="3F7D7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shd w:val="clear" w:color="auto" w:fill="auto"/>
            <w:noWrap w:val="0"/>
            <w:vAlign w:val="center"/>
          </w:tcPr>
          <w:p w14:paraId="0263A5C1">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8</w:t>
            </w:r>
          </w:p>
        </w:tc>
        <w:tc>
          <w:tcPr>
            <w:tcW w:w="5406" w:type="dxa"/>
            <w:shd w:val="clear" w:color="auto" w:fill="auto"/>
            <w:noWrap w:val="0"/>
            <w:vAlign w:val="center"/>
          </w:tcPr>
          <w:p w14:paraId="6C9AA7E3">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加大行业监管力度，开展专项整治。2022年起，开展“诱导消费”、过度诊疗等社会反映强烈的不规范口腔诊疗行为专项整治，依法规范口腔诊疗服务行为。</w:t>
            </w:r>
          </w:p>
        </w:tc>
        <w:tc>
          <w:tcPr>
            <w:tcW w:w="1528" w:type="dxa"/>
            <w:noWrap w:val="0"/>
            <w:vAlign w:val="center"/>
          </w:tcPr>
          <w:p w14:paraId="2F8C4AB2">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每年度</w:t>
            </w:r>
          </w:p>
        </w:tc>
        <w:tc>
          <w:tcPr>
            <w:tcW w:w="1349" w:type="dxa"/>
            <w:noWrap w:val="0"/>
            <w:vAlign w:val="center"/>
          </w:tcPr>
          <w:p w14:paraId="5C999CC4">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区卫生健康委牵头、区医保局配合</w:t>
            </w:r>
          </w:p>
        </w:tc>
      </w:tr>
    </w:tbl>
    <w:p w14:paraId="312CC22A">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b/>
          <w:bCs/>
          <w:snapToGrid/>
          <w:kern w:val="0"/>
          <w:sz w:val="32"/>
          <w:szCs w:val="32"/>
          <w:shd w:val="clear" w:color="auto" w:fill="FFFFFF"/>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p>
    <w:p w14:paraId="41487953">
      <w:pPr>
        <w:widowControl/>
        <w:wordWrap w:val="0"/>
        <w:spacing w:before="0" w:beforeAutospacing="0" w:after="0" w:afterAutospacing="0" w:line="560" w:lineRule="exact"/>
        <w:ind w:left="0" w:right="0"/>
        <w:jc w:val="left"/>
        <w:rPr>
          <w:rFonts w:hint="default" w:ascii="Times New Roman" w:hAnsi="Times New Roman" w:eastAsia="方正黑体_GBK" w:cs="Times New Roman"/>
          <w:bCs/>
          <w:color w:val="auto"/>
          <w:kern w:val="0"/>
          <w:sz w:val="32"/>
          <w:szCs w:val="32"/>
          <w:shd w:val="clear" w:color="auto" w:fill="FFFFFF"/>
          <w:lang w:val="en-US" w:eastAsia="zh-CN" w:bidi="ar"/>
        </w:rPr>
      </w:pPr>
      <w:r>
        <w:rPr>
          <w:rFonts w:hint="default" w:ascii="Times New Roman" w:hAnsi="Times New Roman" w:eastAsia="方正黑体_GBK" w:cs="Times New Roman"/>
          <w:bCs/>
          <w:color w:val="auto"/>
          <w:kern w:val="0"/>
          <w:sz w:val="32"/>
          <w:szCs w:val="32"/>
          <w:shd w:val="clear" w:color="auto" w:fill="FFFFFF"/>
          <w:lang w:val="en-US" w:eastAsia="zh-CN" w:bidi="ar"/>
        </w:rPr>
        <w:t>附件6</w:t>
      </w:r>
    </w:p>
    <w:p w14:paraId="099BD93C">
      <w:pPr>
        <w:widowControl/>
        <w:wordWrap w:val="0"/>
        <w:spacing w:before="0" w:beforeAutospacing="0" w:after="0" w:afterAutospacing="0" w:line="560" w:lineRule="exact"/>
        <w:ind w:left="0" w:right="0"/>
        <w:jc w:val="left"/>
        <w:rPr>
          <w:rFonts w:hint="default" w:ascii="Times New Roman" w:hAnsi="Times New Roman" w:eastAsia="方正黑体_GBK" w:cs="Times New Roman"/>
          <w:bCs/>
          <w:color w:val="auto"/>
          <w:kern w:val="0"/>
          <w:sz w:val="32"/>
          <w:szCs w:val="32"/>
          <w:shd w:val="clear" w:color="auto" w:fill="FFFFFF"/>
          <w:lang w:val="en-US" w:eastAsia="zh-CN" w:bidi="ar"/>
        </w:rPr>
      </w:pPr>
    </w:p>
    <w:p w14:paraId="485CA589">
      <w:pPr>
        <w:widowControl/>
        <w:wordWrap w:val="0"/>
        <w:spacing w:before="0" w:beforeAutospacing="0" w:after="0" w:afterAutospacing="0" w:line="560" w:lineRule="exact"/>
        <w:ind w:left="0" w:right="0"/>
        <w:jc w:val="center"/>
        <w:rPr>
          <w:rFonts w:hint="default" w:ascii="Times New Roman" w:hAnsi="Times New Roman" w:eastAsia="方正小标宋_GBK" w:cs="Times New Roman"/>
          <w:color w:val="auto"/>
          <w:kern w:val="0"/>
          <w:sz w:val="44"/>
          <w:szCs w:val="44"/>
          <w:lang w:val="en-US" w:eastAsia="zh-CN" w:bidi="ar"/>
        </w:rPr>
      </w:pPr>
      <w:r>
        <w:rPr>
          <w:rFonts w:hint="default" w:ascii="Times New Roman" w:hAnsi="Times New Roman" w:eastAsia="方正小标宋_GBK" w:cs="Times New Roman"/>
          <w:bCs/>
          <w:color w:val="auto"/>
          <w:kern w:val="0"/>
          <w:sz w:val="44"/>
          <w:szCs w:val="44"/>
          <w:shd w:val="clear" w:color="auto" w:fill="FFFFFF"/>
          <w:lang w:val="en-US" w:eastAsia="zh-CN" w:bidi="ar"/>
        </w:rPr>
        <w:t>龙子湖区安心托幼（托育）行动方案</w:t>
      </w:r>
    </w:p>
    <w:p w14:paraId="0E399B0F">
      <w:pPr>
        <w:keepNext w:val="0"/>
        <w:keepLines w:val="0"/>
        <w:pageBreakBefore w:val="0"/>
        <w:widowControl/>
        <w:kinsoku/>
        <w:wordWrap w:val="0"/>
        <w:overflowPunct/>
        <w:topLinePunct w:val="0"/>
        <w:autoSpaceDE/>
        <w:autoSpaceDN/>
        <w:bidi w:val="0"/>
        <w:adjustRightInd/>
        <w:spacing w:before="0" w:beforeAutospacing="0" w:after="0" w:afterAutospacing="0" w:line="590" w:lineRule="exact"/>
        <w:ind w:left="0" w:right="0" w:firstLine="560" w:firstLineChars="200"/>
        <w:jc w:val="center"/>
        <w:textAlignment w:val="auto"/>
        <w:rPr>
          <w:rFonts w:hint="default" w:ascii="Times New Roman" w:hAnsi="Times New Roman" w:eastAsia="楷体_GB2312" w:cs="Times New Roman"/>
          <w:color w:val="333333"/>
          <w:kern w:val="0"/>
          <w:sz w:val="28"/>
          <w:szCs w:val="28"/>
          <w:shd w:val="clear" w:color="auto" w:fill="FFFFFF"/>
          <w:lang w:val="en-US" w:eastAsia="zh-CN" w:bidi="ar"/>
        </w:rPr>
      </w:pPr>
    </w:p>
    <w:p w14:paraId="2B019230">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Fonts w:hint="default" w:ascii="Times New Roman" w:hAnsi="Times New Roman" w:eastAsia="仿宋"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为切实提升我区托育服务能力，促进托育服务健康发展，根据国务院办公厅《关于促进3岁以下婴幼儿照护服务发展的指导意见》、《安徽省托育服务补短板工作方案》和《安徽省安心托育行动方案》等文件精神，结合我区实际，制定本方案。</w:t>
      </w:r>
    </w:p>
    <w:p w14:paraId="4B9DD29A">
      <w:pPr>
        <w:keepNext w:val="0"/>
        <w:keepLines w:val="0"/>
        <w:pageBreakBefore w:val="0"/>
        <w:widowControl w:val="0"/>
        <w:kinsoku/>
        <w:overflowPunct/>
        <w:topLinePunct w:val="0"/>
        <w:autoSpaceDE/>
        <w:autoSpaceDN/>
        <w:bidi w:val="0"/>
        <w:adjustRightInd/>
        <w:spacing w:line="590" w:lineRule="exact"/>
        <w:ind w:firstLine="640" w:firstLineChars="200"/>
        <w:jc w:val="left"/>
        <w:textAlignment w:val="auto"/>
        <w:outlineLvl w:val="1"/>
        <w:rPr>
          <w:rFonts w:hint="default" w:ascii="Times New Roman" w:hAnsi="Times New Roman" w:eastAsia="方正黑体_GBK" w:cs="Times New Roman"/>
          <w:kern w:val="2"/>
          <w:sz w:val="32"/>
          <w:szCs w:val="32"/>
          <w:lang w:val="en-US" w:eastAsia="zh-CN" w:bidi="ar-SA"/>
        </w:rPr>
      </w:pPr>
      <w:r>
        <w:rPr>
          <w:rFonts w:hint="default" w:ascii="Times New Roman" w:hAnsi="Times New Roman" w:eastAsia="方正黑体_GBK" w:cs="Times New Roman"/>
          <w:kern w:val="2"/>
          <w:sz w:val="32"/>
          <w:szCs w:val="32"/>
          <w:lang w:val="en-US" w:eastAsia="zh-CN" w:bidi="ar-SA"/>
        </w:rPr>
        <w:t>一、目标任务</w:t>
      </w:r>
    </w:p>
    <w:p w14:paraId="67F6426C">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按照政府引导、部门协同、家庭为主、社会参与的总体思路，坚持普惠优先，充分调动社会力量的积极性，努力增加托育服务有效供给，逐步满足人民群众对托育服务的需求。到2022年底，新增托位450个，千人口托位数达到3.1个；到2023年底，新增托位550个，千人口托位数达到5.2个；到2024年底，新增托位400个，千人口托位数达到6.6个；到2025年底，新增托位400个，千人口托位数达到8个。</w:t>
      </w:r>
    </w:p>
    <w:p w14:paraId="68919EDA">
      <w:pPr>
        <w:keepNext w:val="0"/>
        <w:keepLines w:val="0"/>
        <w:pageBreakBefore w:val="0"/>
        <w:widowControl w:val="0"/>
        <w:kinsoku/>
        <w:overflowPunct/>
        <w:topLinePunct w:val="0"/>
        <w:autoSpaceDE/>
        <w:autoSpaceDN/>
        <w:bidi w:val="0"/>
        <w:adjustRightInd/>
        <w:spacing w:line="590" w:lineRule="exact"/>
        <w:ind w:firstLine="640" w:firstLineChars="200"/>
        <w:jc w:val="left"/>
        <w:textAlignment w:val="auto"/>
        <w:outlineLvl w:val="1"/>
        <w:rPr>
          <w:rFonts w:hint="default" w:ascii="Times New Roman" w:hAnsi="Times New Roman" w:eastAsia="方正黑体_GBK" w:cs="Times New Roman"/>
          <w:kern w:val="2"/>
          <w:sz w:val="32"/>
          <w:szCs w:val="32"/>
          <w:lang w:val="en-US" w:eastAsia="zh-CN" w:bidi="ar-SA"/>
        </w:rPr>
      </w:pPr>
      <w:r>
        <w:rPr>
          <w:rFonts w:hint="default" w:ascii="Times New Roman" w:hAnsi="Times New Roman" w:eastAsia="方正黑体_GBK" w:cs="Times New Roman"/>
          <w:kern w:val="2"/>
          <w:sz w:val="32"/>
          <w:szCs w:val="32"/>
          <w:lang w:val="en-US" w:eastAsia="zh-CN" w:bidi="ar-SA"/>
        </w:rPr>
        <w:t>二、工作措施</w:t>
      </w:r>
    </w:p>
    <w:p w14:paraId="03A928AB">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Style w:val="17"/>
          <w:rFonts w:hint="default" w:ascii="Times New Roman" w:hAnsi="Times New Roman" w:eastAsia="方正楷体_GBK" w:cs="Times New Roman"/>
          <w:b w:val="0"/>
          <w:bCs w:val="0"/>
          <w:kern w:val="2"/>
          <w:sz w:val="32"/>
          <w:szCs w:val="32"/>
          <w:lang w:val="en-US" w:eastAsia="zh-CN" w:bidi="ar-SA"/>
        </w:rPr>
      </w:pPr>
      <w:r>
        <w:rPr>
          <w:rStyle w:val="17"/>
          <w:rFonts w:hint="default" w:ascii="Times New Roman" w:hAnsi="Times New Roman" w:eastAsia="方正楷体_GBK" w:cs="Times New Roman"/>
          <w:b w:val="0"/>
          <w:bCs w:val="0"/>
          <w:szCs w:val="32"/>
          <w:lang w:eastAsia="zh-CN"/>
        </w:rPr>
        <w:t>（一）提供多元化的托育服务</w:t>
      </w:r>
    </w:p>
    <w:p w14:paraId="4AAD3D0B">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围绕群众需求，促进多元发展，坚持普惠优先，充分调动社会力量的积极性，培育发展家庭服务模式、社区服务模式、社会服务模式、托幼一体模式、单位服务模式等多元化的托育服务，通过新建、扩建、改建一批托育机构及设施。各类托育机构根据实际需求，提供全日托、半日托、计时托、临时托等多样化托育服务，多种形式增加托育服务有效供给。</w:t>
      </w:r>
    </w:p>
    <w:p w14:paraId="59CD2167">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Style w:val="17"/>
          <w:rFonts w:hint="default" w:ascii="Times New Roman" w:hAnsi="Times New Roman" w:eastAsia="方正楷体_GBK" w:cs="Times New Roman"/>
          <w:b w:val="0"/>
          <w:bCs w:val="0"/>
          <w:kern w:val="2"/>
          <w:sz w:val="32"/>
          <w:szCs w:val="32"/>
          <w:lang w:val="en-US" w:eastAsia="zh-CN" w:bidi="ar-SA"/>
        </w:rPr>
      </w:pPr>
      <w:r>
        <w:rPr>
          <w:rStyle w:val="17"/>
          <w:rFonts w:hint="default" w:ascii="Times New Roman" w:hAnsi="Times New Roman" w:eastAsia="方正楷体_GBK" w:cs="Times New Roman"/>
          <w:b w:val="0"/>
          <w:bCs w:val="0"/>
          <w:szCs w:val="32"/>
          <w:lang w:eastAsia="zh-CN"/>
        </w:rPr>
        <w:t>（二）建设普惠性的托育服务</w:t>
      </w:r>
    </w:p>
    <w:p w14:paraId="629C1BC1">
      <w:pPr>
        <w:keepNext w:val="0"/>
        <w:keepLines w:val="0"/>
        <w:pageBreakBefore w:val="0"/>
        <w:widowControl w:val="0"/>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仿宋"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自2022年起，每年建成1个示范性托育服务机构，每年建成1个普惠托育服务机构。到2025年，公办独立托育服务机构不少于1个。</w:t>
      </w:r>
    </w:p>
    <w:p w14:paraId="4EE1059C">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Style w:val="17"/>
          <w:rFonts w:hint="default" w:ascii="Times New Roman" w:hAnsi="Times New Roman" w:eastAsia="方正楷体_GBK" w:cs="Times New Roman"/>
          <w:b w:val="0"/>
          <w:bCs w:val="0"/>
          <w:kern w:val="2"/>
          <w:sz w:val="32"/>
          <w:szCs w:val="32"/>
          <w:lang w:val="en-US" w:eastAsia="zh-CN" w:bidi="ar-SA"/>
        </w:rPr>
      </w:pPr>
      <w:r>
        <w:rPr>
          <w:rStyle w:val="17"/>
          <w:rFonts w:hint="default" w:ascii="Times New Roman" w:hAnsi="Times New Roman" w:eastAsia="方正楷体_GBK" w:cs="Times New Roman"/>
          <w:b w:val="0"/>
          <w:bCs w:val="0"/>
          <w:szCs w:val="32"/>
          <w:lang w:eastAsia="zh-CN"/>
        </w:rPr>
        <w:t>（三）健全小区托育服务设施</w:t>
      </w:r>
    </w:p>
    <w:p w14:paraId="0A5265D3">
      <w:pPr>
        <w:keepNext w:val="0"/>
        <w:keepLines w:val="0"/>
        <w:pageBreakBefore w:val="0"/>
        <w:widowControl/>
        <w:kinsoku/>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新建居住（小）区，按照每千人口不少于10个托位标准建设托育服务设施，与住宅同步验收、同步交付使用。到2025年，老旧城区和已建成居住（小）区，通过购置、置换、租赁等方式，按照每千人口不少于8个托位标准补齐托育服务设施。</w:t>
      </w:r>
    </w:p>
    <w:p w14:paraId="0B5190D0">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Style w:val="17"/>
          <w:rFonts w:hint="default" w:ascii="Times New Roman" w:hAnsi="Times New Roman" w:eastAsia="方正楷体_GBK" w:cs="Times New Roman"/>
          <w:b w:val="0"/>
          <w:bCs w:val="0"/>
          <w:kern w:val="2"/>
          <w:sz w:val="32"/>
          <w:szCs w:val="32"/>
          <w:lang w:val="en-US" w:eastAsia="zh-CN" w:bidi="ar-SA"/>
        </w:rPr>
      </w:pPr>
      <w:r>
        <w:rPr>
          <w:rStyle w:val="17"/>
          <w:rFonts w:hint="default" w:ascii="Times New Roman" w:hAnsi="Times New Roman" w:eastAsia="方正楷体_GBK" w:cs="Times New Roman"/>
          <w:b w:val="0"/>
          <w:bCs w:val="0"/>
          <w:szCs w:val="32"/>
          <w:lang w:eastAsia="zh-CN"/>
        </w:rPr>
        <w:t>（四）推进托幼一体化建设</w:t>
      </w:r>
    </w:p>
    <w:p w14:paraId="753191F7">
      <w:pPr>
        <w:keepNext w:val="0"/>
        <w:keepLines w:val="0"/>
        <w:pageBreakBefore w:val="0"/>
        <w:widowControl w:val="0"/>
        <w:kinsoku/>
        <w:overflowPunct/>
        <w:topLinePunct w:val="0"/>
        <w:autoSpaceDE/>
        <w:autoSpaceDN/>
        <w:bidi w:val="0"/>
        <w:adjustRightInd/>
        <w:spacing w:line="590" w:lineRule="exact"/>
        <w:ind w:firstLine="640" w:firstLineChars="200"/>
        <w:jc w:val="left"/>
        <w:textAlignment w:val="auto"/>
        <w:outlineLvl w:val="1"/>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联合区教体局开展托幼一体化建设。公办幼儿园举办的托班原则上提供普惠性服务，新建和改扩建的公办幼儿园均要开设普惠性托班。完善公办幼儿园办托班管理制度，制定托班硬件、师资、招生和经费保障等标准和规范。鼓励有条件的民办幼儿园开设普惠性托班。到2022年底，不少于10%的幼儿园开设2-3岁托班；到2023年底，不少于20%的幼儿园开设2-3岁托班；到2024年底，不少于30%的幼儿园开设2-3岁托班；到 2025年，实现不少于40%的幼儿园开设2-3岁托班。</w:t>
      </w:r>
    </w:p>
    <w:p w14:paraId="0F9BECFD">
      <w:pPr>
        <w:keepNext w:val="0"/>
        <w:keepLines w:val="0"/>
        <w:pageBreakBefore w:val="0"/>
        <w:widowControl w:val="0"/>
        <w:kinsoku/>
        <w:overflowPunct/>
        <w:topLinePunct w:val="0"/>
        <w:autoSpaceDE/>
        <w:autoSpaceDN/>
        <w:bidi w:val="0"/>
        <w:adjustRightInd/>
        <w:spacing w:line="590" w:lineRule="exact"/>
        <w:ind w:firstLine="640" w:firstLineChars="200"/>
        <w:jc w:val="left"/>
        <w:textAlignment w:val="auto"/>
        <w:outlineLvl w:val="1"/>
        <w:rPr>
          <w:rFonts w:hint="default" w:ascii="Times New Roman" w:hAnsi="Times New Roman" w:eastAsia="方正黑体_GBK" w:cs="Times New Roman"/>
          <w:kern w:val="2"/>
          <w:sz w:val="32"/>
          <w:szCs w:val="32"/>
          <w:lang w:val="en-US" w:eastAsia="zh-CN" w:bidi="ar-SA"/>
        </w:rPr>
      </w:pPr>
      <w:r>
        <w:rPr>
          <w:rFonts w:hint="default" w:ascii="Times New Roman" w:hAnsi="Times New Roman" w:eastAsia="方正黑体_GBK" w:cs="Times New Roman"/>
          <w:kern w:val="2"/>
          <w:sz w:val="32"/>
          <w:szCs w:val="32"/>
          <w:lang w:val="en-US" w:eastAsia="zh-CN" w:bidi="ar-SA"/>
        </w:rPr>
        <w:t>三、保障措施</w:t>
      </w:r>
    </w:p>
    <w:p w14:paraId="6C69EE45">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Style w:val="17"/>
          <w:rFonts w:hint="default" w:ascii="Times New Roman" w:hAnsi="Times New Roman" w:eastAsia="方正楷体_GBK" w:cs="Times New Roman"/>
          <w:b w:val="0"/>
          <w:bCs w:val="0"/>
          <w:kern w:val="2"/>
          <w:sz w:val="32"/>
          <w:szCs w:val="32"/>
          <w:lang w:val="en-US" w:eastAsia="zh-CN" w:bidi="ar-SA"/>
        </w:rPr>
      </w:pPr>
      <w:r>
        <w:rPr>
          <w:rStyle w:val="17"/>
          <w:rFonts w:hint="default" w:ascii="Times New Roman" w:hAnsi="Times New Roman" w:eastAsia="方正楷体_GBK" w:cs="Times New Roman"/>
          <w:b w:val="0"/>
          <w:bCs w:val="0"/>
          <w:szCs w:val="32"/>
          <w:lang w:eastAsia="zh-CN"/>
        </w:rPr>
        <w:t>（</w:t>
      </w:r>
      <w:r>
        <w:rPr>
          <w:rStyle w:val="17"/>
          <w:rFonts w:hint="default" w:ascii="Times New Roman" w:hAnsi="Times New Roman" w:eastAsia="方正楷体_GBK" w:cs="Times New Roman"/>
          <w:b w:val="0"/>
          <w:bCs w:val="0"/>
          <w:szCs w:val="32"/>
          <w:lang w:val="en-US" w:eastAsia="zh-CN"/>
        </w:rPr>
        <w:t>一</w:t>
      </w:r>
      <w:r>
        <w:rPr>
          <w:rStyle w:val="17"/>
          <w:rFonts w:hint="default" w:ascii="Times New Roman" w:hAnsi="Times New Roman" w:eastAsia="方正楷体_GBK" w:cs="Times New Roman"/>
          <w:b w:val="0"/>
          <w:bCs w:val="0"/>
          <w:szCs w:val="32"/>
          <w:lang w:eastAsia="zh-CN"/>
        </w:rPr>
        <w:t>）</w:t>
      </w:r>
      <w:r>
        <w:rPr>
          <w:rStyle w:val="17"/>
          <w:rFonts w:hint="default" w:ascii="Times New Roman" w:hAnsi="Times New Roman" w:eastAsia="方正楷体_GBK" w:cs="Times New Roman"/>
          <w:b w:val="0"/>
          <w:bCs w:val="0"/>
          <w:szCs w:val="32"/>
          <w:lang w:val="en-US" w:eastAsia="zh-CN"/>
        </w:rPr>
        <w:t>出台优惠政策，促进普惠托育</w:t>
      </w:r>
    </w:p>
    <w:p w14:paraId="66D2759D">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建立健全普惠托育优惠政策，加大财政投入力度，鼓励民营机构新建普惠托育服务机构，鼓励民办幼儿园开设普惠托育班。</w:t>
      </w:r>
    </w:p>
    <w:p w14:paraId="3F11E9B3">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Style w:val="17"/>
          <w:rFonts w:hint="default" w:ascii="Times New Roman" w:hAnsi="Times New Roman" w:eastAsia="方正楷体_GBK" w:cs="Times New Roman"/>
          <w:b w:val="0"/>
          <w:bCs w:val="0"/>
          <w:kern w:val="2"/>
          <w:sz w:val="32"/>
          <w:szCs w:val="32"/>
          <w:lang w:val="en-US" w:eastAsia="zh-CN" w:bidi="ar-SA"/>
        </w:rPr>
      </w:pPr>
      <w:r>
        <w:rPr>
          <w:rStyle w:val="17"/>
          <w:rFonts w:hint="default" w:ascii="Times New Roman" w:hAnsi="Times New Roman" w:eastAsia="方正楷体_GBK" w:cs="Times New Roman"/>
          <w:b w:val="0"/>
          <w:bCs w:val="0"/>
          <w:szCs w:val="32"/>
          <w:lang w:eastAsia="zh-CN"/>
        </w:rPr>
        <w:t>（</w:t>
      </w:r>
      <w:r>
        <w:rPr>
          <w:rStyle w:val="17"/>
          <w:rFonts w:hint="default" w:ascii="Times New Roman" w:hAnsi="Times New Roman" w:eastAsia="方正楷体_GBK" w:cs="Times New Roman"/>
          <w:b w:val="0"/>
          <w:bCs w:val="0"/>
          <w:szCs w:val="32"/>
          <w:lang w:val="en-US" w:eastAsia="zh-CN"/>
        </w:rPr>
        <w:t>二</w:t>
      </w:r>
      <w:r>
        <w:rPr>
          <w:rStyle w:val="17"/>
          <w:rFonts w:hint="default" w:ascii="Times New Roman" w:hAnsi="Times New Roman" w:eastAsia="方正楷体_GBK" w:cs="Times New Roman"/>
          <w:b w:val="0"/>
          <w:bCs w:val="0"/>
          <w:szCs w:val="32"/>
          <w:lang w:eastAsia="zh-CN"/>
        </w:rPr>
        <w:t>）</w:t>
      </w:r>
      <w:r>
        <w:rPr>
          <w:rStyle w:val="17"/>
          <w:rFonts w:hint="default" w:ascii="Times New Roman" w:hAnsi="Times New Roman" w:eastAsia="方正楷体_GBK" w:cs="Times New Roman"/>
          <w:b w:val="0"/>
          <w:bCs w:val="0"/>
          <w:szCs w:val="32"/>
          <w:lang w:val="en-US" w:eastAsia="zh-CN"/>
        </w:rPr>
        <w:t>加强行业监管，</w:t>
      </w:r>
      <w:r>
        <w:rPr>
          <w:rStyle w:val="17"/>
          <w:rFonts w:hint="default" w:ascii="Times New Roman" w:hAnsi="Times New Roman" w:eastAsia="方正楷体_GBK" w:cs="Times New Roman"/>
          <w:b w:val="0"/>
          <w:bCs w:val="0"/>
          <w:szCs w:val="32"/>
          <w:lang w:eastAsia="zh-CN"/>
        </w:rPr>
        <w:t>确保安全规范</w:t>
      </w:r>
    </w:p>
    <w:p w14:paraId="4987F7D9">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认真落实《托育机构设置标准（试行）》《托育机构管理规范（试行）》《托育机构登记和备案办法（试行）》等标准和规范，推进托育机构专业化、标准化、规范化建设，严格执行托育机构卫生保健工作规范，建立健全托育机构安全管理制度，强化建筑安全、消防安全、食品安全和人身安全。坚持保育为主、保教结合，落实完善托育机构及从业人员管理制度及服务规范，切实保障婴幼儿安全健康成长。</w:t>
      </w:r>
    </w:p>
    <w:p w14:paraId="41B4BB28">
      <w:pPr>
        <w:keepNext w:val="0"/>
        <w:keepLines w:val="0"/>
        <w:pageBreakBefore w:val="0"/>
        <w:widowControl w:val="0"/>
        <w:kinsoku/>
        <w:overflowPunct/>
        <w:topLinePunct w:val="0"/>
        <w:autoSpaceDE/>
        <w:autoSpaceDN/>
        <w:bidi w:val="0"/>
        <w:adjustRightInd/>
        <w:spacing w:line="590" w:lineRule="exact"/>
        <w:ind w:firstLine="640" w:firstLineChars="200"/>
        <w:jc w:val="both"/>
        <w:textAlignment w:val="auto"/>
        <w:rPr>
          <w:rStyle w:val="17"/>
          <w:rFonts w:hint="default" w:ascii="Times New Roman" w:hAnsi="Times New Roman" w:eastAsia="方正楷体_GBK" w:cs="Times New Roman"/>
          <w:b w:val="0"/>
          <w:bCs w:val="0"/>
          <w:kern w:val="2"/>
          <w:sz w:val="32"/>
          <w:szCs w:val="32"/>
          <w:lang w:val="en-US" w:eastAsia="zh-CN" w:bidi="ar-SA"/>
        </w:rPr>
      </w:pPr>
      <w:r>
        <w:rPr>
          <w:rStyle w:val="17"/>
          <w:rFonts w:hint="default" w:ascii="Times New Roman" w:hAnsi="Times New Roman" w:eastAsia="方正楷体_GBK" w:cs="Times New Roman"/>
          <w:b w:val="0"/>
          <w:bCs w:val="0"/>
          <w:szCs w:val="32"/>
          <w:lang w:eastAsia="zh-CN"/>
        </w:rPr>
        <w:t>（</w:t>
      </w:r>
      <w:r>
        <w:rPr>
          <w:rStyle w:val="17"/>
          <w:rFonts w:hint="default" w:ascii="Times New Roman" w:hAnsi="Times New Roman" w:eastAsia="方正楷体_GBK" w:cs="Times New Roman"/>
          <w:b w:val="0"/>
          <w:bCs w:val="0"/>
          <w:szCs w:val="32"/>
          <w:lang w:val="en-US" w:eastAsia="zh-CN"/>
        </w:rPr>
        <w:t>三</w:t>
      </w:r>
      <w:r>
        <w:rPr>
          <w:rStyle w:val="17"/>
          <w:rFonts w:hint="default" w:ascii="Times New Roman" w:hAnsi="Times New Roman" w:eastAsia="方正楷体_GBK" w:cs="Times New Roman"/>
          <w:b w:val="0"/>
          <w:bCs w:val="0"/>
          <w:szCs w:val="32"/>
          <w:lang w:eastAsia="zh-CN"/>
        </w:rPr>
        <w:t>）加强队伍建设，</w:t>
      </w:r>
      <w:r>
        <w:rPr>
          <w:rStyle w:val="17"/>
          <w:rFonts w:hint="default" w:ascii="Times New Roman" w:hAnsi="Times New Roman" w:eastAsia="方正楷体_GBK" w:cs="Times New Roman"/>
          <w:b w:val="0"/>
          <w:bCs w:val="0"/>
          <w:szCs w:val="32"/>
          <w:lang w:val="en-US" w:eastAsia="zh-CN"/>
        </w:rPr>
        <w:t>确保服务水平</w:t>
      </w:r>
    </w:p>
    <w:p w14:paraId="65399663">
      <w:pPr>
        <w:keepNext w:val="0"/>
        <w:keepLines w:val="0"/>
        <w:pageBreakBefore w:val="0"/>
        <w:widowControl w:val="0"/>
        <w:tabs>
          <w:tab w:val="left" w:pos="1528"/>
        </w:tabs>
        <w:kinsoku/>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托育服务从业人员必须符合国家和地方相关规定要求的资格条件。加强各级管理人员培训，提升行业管理水平。加强托育服务从业人员培训，建立岗前培训和定期培训制度，多种方式开展职业技能培训，加强法治教育、职业道德教育、心理健康教育，提高从业人员专业能力和服务水平，建设一支有爱心、高素质的托育服务队伍。</w:t>
      </w:r>
    </w:p>
    <w:p w14:paraId="1497BA31">
      <w:pPr>
        <w:keepNext w:val="0"/>
        <w:keepLines w:val="0"/>
        <w:pageBreakBefore w:val="0"/>
        <w:widowControl w:val="0"/>
        <w:tabs>
          <w:tab w:val="left" w:pos="1528"/>
        </w:tabs>
        <w:kinsoku/>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p>
    <w:p w14:paraId="0BF98C8D">
      <w:pPr>
        <w:widowControl w:val="0"/>
        <w:spacing w:line="560" w:lineRule="exact"/>
        <w:jc w:val="center"/>
        <w:rPr>
          <w:rFonts w:hint="default" w:ascii="Times New Roman" w:hAnsi="Times New Roman" w:eastAsia="方正小标宋_GBK" w:cs="Times New Roman"/>
          <w:kern w:val="0"/>
          <w:sz w:val="44"/>
          <w:szCs w:val="44"/>
          <w:lang w:val="en-US" w:eastAsia="zh-CN" w:bidi="ar-SA"/>
        </w:rPr>
      </w:pPr>
      <w:r>
        <w:rPr>
          <w:rFonts w:hint="default" w:ascii="Times New Roman" w:hAnsi="Times New Roman" w:eastAsia="方正小标宋_GBK" w:cs="Times New Roman"/>
          <w:kern w:val="0"/>
          <w:sz w:val="44"/>
          <w:szCs w:val="44"/>
          <w:lang w:val="en-US" w:eastAsia="zh-CN" w:bidi="ar-SA"/>
        </w:rPr>
        <w:t>龙子湖区安心托育重点工作任务分解表</w:t>
      </w:r>
    </w:p>
    <w:p w14:paraId="173C1645">
      <w:pPr>
        <w:widowControl w:val="0"/>
        <w:spacing w:line="560" w:lineRule="exact"/>
        <w:jc w:val="center"/>
        <w:rPr>
          <w:rFonts w:hint="default" w:ascii="Times New Roman" w:hAnsi="Times New Roman" w:eastAsia="方正小标宋_GBK" w:cs="Times New Roman"/>
          <w:kern w:val="0"/>
          <w:sz w:val="44"/>
          <w:szCs w:val="44"/>
          <w:lang w:val="en-US" w:eastAsia="zh-CN" w:bidi="ar-SA"/>
        </w:rPr>
      </w:pPr>
    </w:p>
    <w:tbl>
      <w:tblPr>
        <w:tblStyle w:val="10"/>
        <w:tblW w:w="8840" w:type="dxa"/>
        <w:jc w:val="center"/>
        <w:tblLayout w:type="fixed"/>
        <w:tblCellMar>
          <w:top w:w="0" w:type="dxa"/>
          <w:left w:w="0" w:type="dxa"/>
          <w:bottom w:w="0" w:type="dxa"/>
          <w:right w:w="0" w:type="dxa"/>
        </w:tblCellMar>
      </w:tblPr>
      <w:tblGrid>
        <w:gridCol w:w="871"/>
        <w:gridCol w:w="3623"/>
        <w:gridCol w:w="2520"/>
        <w:gridCol w:w="1826"/>
      </w:tblGrid>
      <w:tr w14:paraId="2272C28F">
        <w:tblPrEx>
          <w:tblCellMar>
            <w:top w:w="0" w:type="dxa"/>
            <w:left w:w="0" w:type="dxa"/>
            <w:bottom w:w="0" w:type="dxa"/>
            <w:right w:w="0" w:type="dxa"/>
          </w:tblCellMar>
        </w:tblPrEx>
        <w:trPr>
          <w:trHeight w:val="430" w:hRule="atLeast"/>
          <w:jc w:val="center"/>
        </w:trPr>
        <w:tc>
          <w:tcPr>
            <w:tcW w:w="8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CD487B">
            <w:pPr>
              <w:widowControl/>
              <w:kinsoku/>
              <w:autoSpaceDE/>
              <w:autoSpaceDN/>
              <w:adjustRightInd/>
              <w:snapToGrid/>
              <w:spacing w:line="560" w:lineRule="exact"/>
              <w:jc w:val="center"/>
              <w:textAlignment w:val="center"/>
              <w:rPr>
                <w:rFonts w:hint="default" w:ascii="Times New Roman" w:hAnsi="Times New Roman" w:eastAsia="方正黑体_GBK" w:cs="Times New Roman"/>
                <w:snapToGrid/>
                <w:color w:val="000000"/>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
              </w:rPr>
              <w:t>序号</w:t>
            </w:r>
          </w:p>
        </w:tc>
        <w:tc>
          <w:tcPr>
            <w:tcW w:w="36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E1C61">
            <w:pPr>
              <w:widowControl/>
              <w:kinsoku/>
              <w:autoSpaceDE/>
              <w:autoSpaceDN/>
              <w:adjustRightInd/>
              <w:snapToGrid/>
              <w:spacing w:line="560" w:lineRule="exact"/>
              <w:jc w:val="center"/>
              <w:textAlignment w:val="center"/>
              <w:rPr>
                <w:rFonts w:hint="default" w:ascii="Times New Roman" w:hAnsi="Times New Roman" w:eastAsia="方正黑体_GBK" w:cs="Times New Roman"/>
                <w:snapToGrid/>
                <w:color w:val="000000"/>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
              </w:rPr>
              <w:t>目标任务</w:t>
            </w:r>
          </w:p>
        </w:tc>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179196">
            <w:pPr>
              <w:widowControl/>
              <w:kinsoku/>
              <w:autoSpaceDE/>
              <w:autoSpaceDN/>
              <w:adjustRightInd/>
              <w:snapToGrid/>
              <w:spacing w:line="560" w:lineRule="exact"/>
              <w:jc w:val="center"/>
              <w:textAlignment w:val="center"/>
              <w:rPr>
                <w:rFonts w:hint="default" w:ascii="Times New Roman" w:hAnsi="Times New Roman" w:eastAsia="方正黑体_GBK" w:cs="Times New Roman"/>
                <w:snapToGrid/>
                <w:color w:val="000000"/>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
              </w:rPr>
              <w:t>时限要求</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4D3B23">
            <w:pPr>
              <w:widowControl/>
              <w:kinsoku/>
              <w:autoSpaceDE/>
              <w:autoSpaceDN/>
              <w:adjustRightInd/>
              <w:snapToGrid/>
              <w:spacing w:line="560" w:lineRule="exact"/>
              <w:jc w:val="center"/>
              <w:textAlignment w:val="center"/>
              <w:rPr>
                <w:rFonts w:hint="default" w:ascii="Times New Roman" w:hAnsi="Times New Roman" w:eastAsia="方正黑体_GBK" w:cs="Times New Roman"/>
                <w:snapToGrid/>
                <w:color w:val="000000"/>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
              </w:rPr>
              <w:t>责任单位</w:t>
            </w:r>
          </w:p>
        </w:tc>
      </w:tr>
      <w:tr w14:paraId="4352FF10">
        <w:tblPrEx>
          <w:tblCellMar>
            <w:top w:w="0" w:type="dxa"/>
            <w:left w:w="0" w:type="dxa"/>
            <w:bottom w:w="0" w:type="dxa"/>
            <w:right w:w="0" w:type="dxa"/>
          </w:tblCellMar>
        </w:tblPrEx>
        <w:trPr>
          <w:trHeight w:val="2639" w:hRule="atLeast"/>
          <w:jc w:val="center"/>
        </w:trPr>
        <w:tc>
          <w:tcPr>
            <w:tcW w:w="8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A0A478">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1</w:t>
            </w:r>
          </w:p>
        </w:tc>
        <w:tc>
          <w:tcPr>
            <w:tcW w:w="362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3893C3">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建设托育服务机构。</w:t>
            </w:r>
          </w:p>
        </w:tc>
        <w:tc>
          <w:tcPr>
            <w:tcW w:w="25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CA5906">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2022-2025年，每年建成1个示范性托育服务机构，每年建成1个普惠性托育服务机构。至2025年底，公立独立托育服务机构不少于1个。</w:t>
            </w:r>
          </w:p>
        </w:tc>
        <w:tc>
          <w:tcPr>
            <w:tcW w:w="182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063BAC">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区卫生健康委牵头，区发改委、区财政局、区自然资源分局、区住建交通局按职责分工负责</w:t>
            </w:r>
          </w:p>
        </w:tc>
      </w:tr>
      <w:tr w14:paraId="5DED8ADF">
        <w:tblPrEx>
          <w:tblCellMar>
            <w:top w:w="0" w:type="dxa"/>
            <w:left w:w="0" w:type="dxa"/>
            <w:bottom w:w="0" w:type="dxa"/>
            <w:right w:w="0" w:type="dxa"/>
          </w:tblCellMar>
        </w:tblPrEx>
        <w:trPr>
          <w:trHeight w:val="3024" w:hRule="atLeast"/>
          <w:jc w:val="center"/>
        </w:trPr>
        <w:tc>
          <w:tcPr>
            <w:tcW w:w="8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BCE3A0">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2</w:t>
            </w:r>
          </w:p>
        </w:tc>
        <w:tc>
          <w:tcPr>
            <w:tcW w:w="3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B8D8AD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新建居住（小）区，按照每千人口不少于10个托位标准建设托育服务设施，与住宅同步验收、同步交付使用。到2025年，老旧城区和已建成居住（小）区，通过购置、置换、租赁等方式，按照每千人口不少于8个托位标准补齐托育服务设施。</w:t>
            </w:r>
          </w:p>
        </w:tc>
        <w:tc>
          <w:tcPr>
            <w:tcW w:w="25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422341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2025年底前。</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3316D0">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区住建交通局牵头，区发改委、区卫生健康委、区财政局、区自然资源分局、分工负责</w:t>
            </w:r>
          </w:p>
        </w:tc>
      </w:tr>
      <w:tr w14:paraId="3B287A3E">
        <w:tblPrEx>
          <w:tblCellMar>
            <w:top w:w="0" w:type="dxa"/>
            <w:left w:w="0" w:type="dxa"/>
            <w:bottom w:w="0" w:type="dxa"/>
            <w:right w:w="0" w:type="dxa"/>
          </w:tblCellMar>
        </w:tblPrEx>
        <w:trPr>
          <w:trHeight w:val="1757" w:hRule="atLeast"/>
          <w:jc w:val="center"/>
        </w:trPr>
        <w:tc>
          <w:tcPr>
            <w:tcW w:w="8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ACC2DF">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3</w:t>
            </w:r>
          </w:p>
        </w:tc>
        <w:tc>
          <w:tcPr>
            <w:tcW w:w="3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3FE56ED">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推进托幼一体化建设，全区40%的幼儿园为2-3周岁婴幼儿开设托班。</w:t>
            </w:r>
          </w:p>
        </w:tc>
        <w:tc>
          <w:tcPr>
            <w:tcW w:w="252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A7D7FA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2022年达到10%；2023年达到20%；2024年达到30%；2025年达到40%。</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7020F46">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区教体局牵头，区卫生健康委配合。</w:t>
            </w:r>
          </w:p>
        </w:tc>
      </w:tr>
      <w:tr w14:paraId="0EFC1A42">
        <w:tblPrEx>
          <w:tblCellMar>
            <w:top w:w="0" w:type="dxa"/>
            <w:left w:w="0" w:type="dxa"/>
            <w:bottom w:w="0" w:type="dxa"/>
            <w:right w:w="0" w:type="dxa"/>
          </w:tblCellMar>
        </w:tblPrEx>
        <w:trPr>
          <w:trHeight w:val="3400" w:hRule="atLeast"/>
          <w:jc w:val="center"/>
        </w:trPr>
        <w:tc>
          <w:tcPr>
            <w:tcW w:w="8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4083E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4</w:t>
            </w:r>
          </w:p>
        </w:tc>
        <w:tc>
          <w:tcPr>
            <w:tcW w:w="3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D17227">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推进托育机构专业化、标准化、规范化建设，严格执行托育机构卫生保健工作规范，建立健全托育机构安全管理制度，强化建筑安全、消防安全、食品安全和人身安全。坚持保育为主、保教结合，落实完善托育机构及从业人员管理制度及服务规范，切实保障婴幼儿安全健康成长。</w:t>
            </w:r>
          </w:p>
        </w:tc>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F9EEA0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长期。</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37F368">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区卫生健康委牵头，区教体局配合。</w:t>
            </w:r>
          </w:p>
        </w:tc>
      </w:tr>
      <w:tr w14:paraId="1323C92C">
        <w:tblPrEx>
          <w:tblCellMar>
            <w:top w:w="0" w:type="dxa"/>
            <w:left w:w="0" w:type="dxa"/>
            <w:bottom w:w="0" w:type="dxa"/>
            <w:right w:w="0" w:type="dxa"/>
          </w:tblCellMar>
        </w:tblPrEx>
        <w:trPr>
          <w:trHeight w:val="3060" w:hRule="atLeast"/>
          <w:jc w:val="center"/>
        </w:trPr>
        <w:tc>
          <w:tcPr>
            <w:tcW w:w="871"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690465">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5</w:t>
            </w:r>
          </w:p>
        </w:tc>
        <w:tc>
          <w:tcPr>
            <w:tcW w:w="362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54A41B">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加强各级管理人员培训，提升行业管理水平。加强托育服务从业人员培训，建立岗前培训和定期培训制度，多种方式开展职业技能培训，加强法治教育、职业道德教育、心理健康教育，提高从业人员专业能力和服务水平，建设一支有爱心、高素质的托育服务队伍。</w:t>
            </w:r>
          </w:p>
        </w:tc>
        <w:tc>
          <w:tcPr>
            <w:tcW w:w="252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9ED4C7">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kern w:val="0"/>
                <w:sz w:val="24"/>
                <w:szCs w:val="24"/>
                <w:lang w:val="en-US" w:eastAsia="zh-CN" w:bidi="ar-SA"/>
              </w:rPr>
            </w:pPr>
            <w:r>
              <w:rPr>
                <w:rFonts w:hint="default" w:ascii="Times New Roman" w:hAnsi="Times New Roman" w:eastAsia="方正仿宋_GBK" w:cs="Times New Roman"/>
                <w:snapToGrid/>
                <w:kern w:val="0"/>
                <w:sz w:val="24"/>
                <w:szCs w:val="24"/>
                <w:lang w:val="en-US" w:eastAsia="zh-CN" w:bidi="ar-SA"/>
              </w:rPr>
              <w:t>长期。</w:t>
            </w:r>
          </w:p>
        </w:tc>
        <w:tc>
          <w:tcPr>
            <w:tcW w:w="1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DD8995">
            <w:pPr>
              <w:keepNext w:val="0"/>
              <w:keepLines w:val="0"/>
              <w:pageBreakBefore w:val="0"/>
              <w:widowControl/>
              <w:kinsoku/>
              <w:wordWrap/>
              <w:overflowPunct/>
              <w:topLinePunct w:val="0"/>
              <w:autoSpaceDE/>
              <w:autoSpaceDN/>
              <w:bidi w:val="0"/>
              <w:adjustRightInd/>
              <w:snapToGrid/>
              <w:spacing w:line="0" w:lineRule="atLeast"/>
              <w:jc w:val="left"/>
              <w:textAlignment w:val="center"/>
              <w:rPr>
                <w:rFonts w:hint="default" w:ascii="Times New Roman" w:hAnsi="Times New Roman" w:eastAsia="仿宋" w:cs="Times New Roman"/>
                <w:snapToGrid/>
                <w:kern w:val="0"/>
                <w:sz w:val="24"/>
                <w:szCs w:val="24"/>
                <w:lang w:val="en-US" w:eastAsia="zh-CN" w:bidi="ar-SA"/>
              </w:rPr>
            </w:pPr>
            <w:r>
              <w:rPr>
                <w:rFonts w:hint="default" w:ascii="Times New Roman" w:hAnsi="Times New Roman" w:eastAsia="仿宋" w:cs="Times New Roman"/>
                <w:snapToGrid/>
                <w:kern w:val="0"/>
                <w:sz w:val="24"/>
                <w:szCs w:val="24"/>
                <w:lang w:val="en-US" w:eastAsia="zh-CN" w:bidi="ar-SA"/>
              </w:rPr>
              <w:t>区卫生健康委牵头，区人社局配合。</w:t>
            </w:r>
          </w:p>
        </w:tc>
      </w:tr>
    </w:tbl>
    <w:p w14:paraId="047B62D5">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b/>
          <w:bCs/>
          <w:snapToGrid/>
          <w:kern w:val="0"/>
          <w:sz w:val="32"/>
          <w:szCs w:val="32"/>
          <w:shd w:val="clear" w:color="auto" w:fill="FFFFFF"/>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p>
    <w:p w14:paraId="444DBDDC">
      <w:pPr>
        <w:widowControl w:val="0"/>
        <w:kinsoku/>
        <w:autoSpaceDE/>
        <w:autoSpaceDN/>
        <w:adjustRightInd/>
        <w:snapToGrid/>
        <w:spacing w:line="560" w:lineRule="exact"/>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附件7</w:t>
      </w:r>
    </w:p>
    <w:p w14:paraId="7AE84908">
      <w:pPr>
        <w:widowControl w:val="0"/>
        <w:kinsoku/>
        <w:autoSpaceDE/>
        <w:autoSpaceDN/>
        <w:adjustRightInd/>
        <w:snapToGrid/>
        <w:spacing w:line="560" w:lineRule="exact"/>
        <w:jc w:val="left"/>
        <w:textAlignment w:val="auto"/>
        <w:rPr>
          <w:rFonts w:hint="default" w:ascii="Times New Roman" w:hAnsi="Times New Roman" w:eastAsia="方正黑体_GBK" w:cs="Times New Roman"/>
          <w:snapToGrid/>
          <w:kern w:val="2"/>
          <w:sz w:val="32"/>
          <w:szCs w:val="32"/>
          <w:lang w:val="en-US" w:eastAsia="zh-CN" w:bidi="ar-SA"/>
        </w:rPr>
      </w:pPr>
    </w:p>
    <w:p w14:paraId="6732F846">
      <w:pPr>
        <w:widowControl w:val="0"/>
        <w:kinsoku/>
        <w:autoSpaceDE/>
        <w:autoSpaceDN/>
        <w:adjustRightInd/>
        <w:snapToGrid/>
        <w:spacing w:line="640" w:lineRule="exact"/>
        <w:jc w:val="center"/>
        <w:textAlignment w:val="auto"/>
        <w:rPr>
          <w:rFonts w:hint="default" w:ascii="Times New Roman" w:hAnsi="Times New Roman" w:eastAsia="方正小标宋简体"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龙子湖区安心托幼行动方案</w:t>
      </w:r>
    </w:p>
    <w:p w14:paraId="2C08008B">
      <w:pPr>
        <w:widowControl w:val="0"/>
        <w:kinsoku/>
        <w:autoSpaceDE/>
        <w:autoSpaceDN/>
        <w:adjustRightInd/>
        <w:snapToGrid/>
        <w:spacing w:line="640" w:lineRule="exact"/>
        <w:ind w:firstLine="640" w:firstLineChars="200"/>
        <w:jc w:val="both"/>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仿宋_GB2312" w:cs="Times New Roman"/>
          <w:snapToGrid/>
          <w:kern w:val="2"/>
          <w:sz w:val="32"/>
          <w:szCs w:val="32"/>
          <w:lang w:val="en-US" w:eastAsia="zh-CN" w:bidi="ar-SA"/>
        </w:rPr>
        <w:t xml:space="preserve">                </w:t>
      </w:r>
    </w:p>
    <w:p w14:paraId="6C204BD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根据《蚌埠市安心托幼行动方案》，结合我区实际，制定本方案：</w:t>
      </w:r>
    </w:p>
    <w:p w14:paraId="2F7C4122">
      <w:pPr>
        <w:widowControl w:val="0"/>
        <w:kinsoku/>
        <w:autoSpaceDE/>
        <w:autoSpaceDN/>
        <w:adjustRightInd/>
        <w:snapToGrid/>
        <w:spacing w:line="640" w:lineRule="exact"/>
        <w:ind w:firstLine="640" w:firstLineChars="200"/>
        <w:jc w:val="both"/>
        <w:textAlignment w:val="auto"/>
        <w:rPr>
          <w:rFonts w:hint="default" w:ascii="Times New Roman" w:hAnsi="Times New Roman" w:eastAsia="方正黑体_GBK" w:cs="Times New Roman"/>
          <w:b w:val="0"/>
          <w:bCs w:val="0"/>
          <w:snapToGrid/>
          <w:kern w:val="2"/>
          <w:sz w:val="32"/>
          <w:szCs w:val="32"/>
          <w:lang w:val="en-US" w:eastAsia="zh-CN" w:bidi="ar-SA"/>
        </w:rPr>
      </w:pPr>
      <w:r>
        <w:rPr>
          <w:rFonts w:hint="default" w:ascii="Times New Roman" w:hAnsi="Times New Roman" w:eastAsia="方正黑体_GBK" w:cs="Times New Roman"/>
          <w:b w:val="0"/>
          <w:bCs w:val="0"/>
          <w:snapToGrid/>
          <w:kern w:val="2"/>
          <w:sz w:val="32"/>
          <w:szCs w:val="32"/>
          <w:lang w:val="en-US" w:eastAsia="zh-CN" w:bidi="ar-SA"/>
        </w:rPr>
        <w:t>一、目标任务</w:t>
      </w:r>
    </w:p>
    <w:p w14:paraId="2B77CDFB">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到2025年，全区总托位数达1500个，千人口托位数达5.91</w:t>
      </w:r>
      <w:r>
        <w:rPr>
          <w:rFonts w:hint="default" w:ascii="Times New Roman" w:hAnsi="Times New Roman" w:eastAsia="仿宋_GB2312" w:cs="Times New Roman"/>
          <w:snapToGrid/>
          <w:color w:val="000000"/>
          <w:kern w:val="2"/>
          <w:sz w:val="32"/>
          <w:szCs w:val="32"/>
          <w:lang w:val="en-US" w:eastAsia="zh-CN" w:bidi="ar-SA"/>
        </w:rPr>
        <w:t>个</w:t>
      </w:r>
      <w:r>
        <w:rPr>
          <w:rFonts w:hint="default" w:ascii="Times New Roman" w:hAnsi="Times New Roman" w:eastAsia="方正仿宋_GBK" w:cs="Times New Roman"/>
          <w:snapToGrid/>
          <w:kern w:val="2"/>
          <w:sz w:val="32"/>
          <w:szCs w:val="32"/>
          <w:lang w:val="en-US" w:eastAsia="zh-CN" w:bidi="ar-SA"/>
        </w:rPr>
        <w:t>，婴幼儿托育服务体系基本形成。其中，2022年新增托位数300个，2023年新增托位数300个。</w:t>
      </w:r>
    </w:p>
    <w:p w14:paraId="23765CF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到2025年，新增公办学位1170个，公办园在园幼儿占比达到70%以上，普惠性幼儿园覆盖率不低于90%，学前教育“大班额”基本消除，形成以普惠性资源为主体的办园体系。其中，2022年新增公办学位270个；2023年新增公办学位270个。</w:t>
      </w:r>
    </w:p>
    <w:p w14:paraId="2D75D38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 xml:space="preserve">到2025年，幼儿园延时服务体系基本完善，服务质量明显提升。其中，2022年秋季学期，幼儿园延时服务实现全覆盖；2023年春季学期，努力实现有需要的幼儿全覆盖，家长按时“接娃难”问题基本解决。 </w:t>
      </w:r>
    </w:p>
    <w:p w14:paraId="3615C3CB">
      <w:pPr>
        <w:widowControl w:val="0"/>
        <w:kinsoku/>
        <w:autoSpaceDE/>
        <w:autoSpaceDN/>
        <w:adjustRightInd/>
        <w:snapToGrid/>
        <w:spacing w:line="640" w:lineRule="exact"/>
        <w:ind w:firstLine="640" w:firstLineChars="200"/>
        <w:jc w:val="both"/>
        <w:textAlignment w:val="auto"/>
        <w:rPr>
          <w:rFonts w:hint="default" w:ascii="Times New Roman" w:hAnsi="Times New Roman" w:eastAsia="方正黑体_GBK" w:cs="Times New Roman"/>
          <w:b w:val="0"/>
          <w:bCs w:val="0"/>
          <w:snapToGrid/>
          <w:kern w:val="2"/>
          <w:sz w:val="32"/>
          <w:szCs w:val="32"/>
          <w:lang w:val="en-US" w:eastAsia="zh-CN" w:bidi="ar-SA"/>
        </w:rPr>
      </w:pPr>
      <w:r>
        <w:rPr>
          <w:rFonts w:hint="default" w:ascii="Times New Roman" w:hAnsi="Times New Roman" w:eastAsia="方正黑体_GBK" w:cs="Times New Roman"/>
          <w:b w:val="0"/>
          <w:bCs w:val="0"/>
          <w:snapToGrid/>
          <w:kern w:val="2"/>
          <w:sz w:val="32"/>
          <w:szCs w:val="32"/>
          <w:lang w:val="en-US" w:eastAsia="zh-CN" w:bidi="ar-SA"/>
        </w:rPr>
        <w:t>二、工作措施</w:t>
      </w:r>
    </w:p>
    <w:p w14:paraId="5ADE3EB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（一）持续扩大普惠托育服务供给。</w:t>
      </w:r>
    </w:p>
    <w:p w14:paraId="1BA2AC8C">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 建设普惠托育机构。</w:t>
      </w:r>
      <w:r>
        <w:rPr>
          <w:rFonts w:hint="default" w:ascii="Times New Roman" w:hAnsi="Times New Roman" w:eastAsia="方正仿宋_GBK" w:cs="Times New Roman"/>
          <w:snapToGrid/>
          <w:kern w:val="2"/>
          <w:sz w:val="32"/>
          <w:szCs w:val="32"/>
          <w:lang w:val="en-US" w:eastAsia="zh-CN" w:bidi="ar-SA"/>
        </w:rPr>
        <w:t>2022-2025年，每年申报创建1个示范性托育服务机构，每年建成1个普惠托育服务机构。到2025年，公办独立托育服务机构不少于1个。</w:t>
      </w:r>
    </w:p>
    <w:p w14:paraId="760A42A8">
      <w:pPr>
        <w:keepNext w:val="0"/>
        <w:keepLines w:val="0"/>
        <w:pageBreakBefore w:val="0"/>
        <w:widowControl/>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 补齐配全小区托位。</w:t>
      </w:r>
      <w:r>
        <w:rPr>
          <w:rFonts w:hint="default" w:ascii="Times New Roman" w:hAnsi="Times New Roman" w:eastAsia="方正仿宋_GBK" w:cs="Times New Roman"/>
          <w:snapToGrid/>
          <w:kern w:val="2"/>
          <w:sz w:val="32"/>
          <w:szCs w:val="32"/>
          <w:lang w:val="en-US" w:eastAsia="zh-CN" w:bidi="ar-SA"/>
        </w:rPr>
        <w:t>城市新建城区、新建居住（小）区，按照每千人口不少于10个托位标准建设托育服务设施，与住宅同步验收、同步交付使用。到2025年，老旧城区和已建成居住（小）区，通过购置、置换、租赁等方式，按照每千人口不少于8个托位标准补齐托育服务设施。</w:t>
      </w:r>
    </w:p>
    <w:p w14:paraId="4DB8D33D">
      <w:pPr>
        <w:widowControl/>
        <w:kinsoku/>
        <w:autoSpaceDE/>
        <w:autoSpaceDN/>
        <w:adjustRightInd/>
        <w:snapToGrid/>
        <w:spacing w:line="64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 多渠道提供托育服务。</w:t>
      </w:r>
      <w:r>
        <w:rPr>
          <w:rFonts w:hint="default" w:ascii="Times New Roman" w:hAnsi="Times New Roman" w:eastAsia="方正仿宋_GBK" w:cs="Times New Roman"/>
          <w:snapToGrid/>
          <w:kern w:val="2"/>
          <w:sz w:val="32"/>
          <w:szCs w:val="32"/>
          <w:lang w:val="en-US" w:eastAsia="zh-CN" w:bidi="ar-SA"/>
        </w:rPr>
        <w:t>支持社会力量利用公共服务设施、闲置场所等资源举办托育机构，鼓励以委托或购买服务方式办成普惠托育机构。鼓励民办园通过转型或利用闲置校舍举办托育机构。依托公立医院建设托育点。支持园区基地、用人单位以单独或联合举办等方式，为职工提供福利性托育服务，有条件的可向附近居民开放。各类托育机构根据实际需求，提供全日托、半日托、计时托、临时托等多样化托育服务。</w:t>
      </w:r>
    </w:p>
    <w:p w14:paraId="75207849">
      <w:pPr>
        <w:widowControl/>
        <w:kinsoku/>
        <w:autoSpaceDE/>
        <w:autoSpaceDN/>
        <w:adjustRightInd/>
        <w:snapToGrid/>
        <w:spacing w:line="64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4. 推进托幼一体化建设。</w:t>
      </w:r>
      <w:r>
        <w:rPr>
          <w:rFonts w:hint="default" w:ascii="Times New Roman" w:hAnsi="Times New Roman" w:eastAsia="方正仿宋_GBK" w:cs="Times New Roman"/>
          <w:snapToGrid/>
          <w:kern w:val="2"/>
          <w:sz w:val="32"/>
          <w:szCs w:val="32"/>
          <w:lang w:val="en-US" w:eastAsia="zh-CN" w:bidi="ar-SA"/>
        </w:rPr>
        <w:t>有条件的幼儿园开设托班，公办幼儿园举办的托班原则上提供普惠性服务，新建和改扩建的公办幼儿园均要开设普惠性托班。完善公办幼儿园办托班管理制度，制定托班硬件、师资、招生和经费保障等标准和规范。鼓励有条件的民办幼儿园开设普惠性托班。到 2025年，实现不少于30%的幼儿园开设2-3岁托班。</w:t>
      </w:r>
    </w:p>
    <w:p w14:paraId="558FFE2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 xml:space="preserve">（二）稳步提升普惠性幼儿园覆盖率 </w:t>
      </w:r>
    </w:p>
    <w:p w14:paraId="1884B591">
      <w:pPr>
        <w:widowControl w:val="0"/>
        <w:kinsoku/>
        <w:autoSpaceDE/>
        <w:autoSpaceDN/>
        <w:adjustRightInd/>
        <w:snapToGrid/>
        <w:spacing w:line="64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 优化幼儿园布局。</w:t>
      </w:r>
      <w:r>
        <w:rPr>
          <w:rFonts w:hint="default" w:ascii="Times New Roman" w:hAnsi="Times New Roman" w:eastAsia="方正仿宋_GBK" w:cs="Times New Roman"/>
          <w:snapToGrid/>
          <w:kern w:val="2"/>
          <w:sz w:val="32"/>
          <w:szCs w:val="32"/>
          <w:lang w:val="en-US" w:eastAsia="zh-CN" w:bidi="ar-SA"/>
        </w:rPr>
        <w:t>充分考虑出生人口变化、乡村振兴和城镇化发展趋势，每年测算入园需求，优化普惠性幼儿园布局。城镇幼儿园按照300-500米服务半径，在新增人口和流动人口聚集区、工业园区，加密规划布局一批幼儿园，满足就近入园需要。结合三孩生育政策实施、学前教育“大班额”情况和地方实际，及时修订居住（小）区人口配套学位标准。</w:t>
      </w:r>
    </w:p>
    <w:p w14:paraId="399E3E3D">
      <w:pPr>
        <w:widowControl/>
        <w:kinsoku/>
        <w:autoSpaceDE/>
        <w:autoSpaceDN/>
        <w:adjustRightInd/>
        <w:snapToGrid/>
        <w:spacing w:line="64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 补足配齐公办园学位。</w:t>
      </w:r>
      <w:r>
        <w:rPr>
          <w:rFonts w:hint="default" w:ascii="Times New Roman" w:hAnsi="Times New Roman" w:eastAsia="方正仿宋_GBK" w:cs="Times New Roman"/>
          <w:snapToGrid/>
          <w:kern w:val="2"/>
          <w:sz w:val="32"/>
          <w:szCs w:val="32"/>
          <w:lang w:val="en-US" w:eastAsia="zh-CN" w:bidi="ar-SA"/>
        </w:rPr>
        <w:t>实施学前教育促进工程，在公办学位不足的地区，通过新建改扩建公办园、鼓励政府收购民办园办成公办园等方式，增加公办学位供给。新建小区配套园全部办成公办园，确保居住人口3000人以上的小区至少配建一所不少于3个班建制的幼儿园。开展城镇老旧小区改造时，同步推进小区配套园治理。充分利用空置厂房、公共服务设施、闲置校舍等资源，以租赁、租借、划转等形式举办公办园。鼓励普通高校举办公办园，面向社会提供普惠性服务。</w:t>
      </w:r>
    </w:p>
    <w:p w14:paraId="32B80810">
      <w:pPr>
        <w:widowControl w:val="0"/>
        <w:kinsoku/>
        <w:autoSpaceDE/>
        <w:autoSpaceDN/>
        <w:adjustRightInd/>
        <w:snapToGrid/>
        <w:spacing w:line="64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 支持民办园普惠发展。</w:t>
      </w:r>
      <w:r>
        <w:rPr>
          <w:rFonts w:hint="default" w:ascii="Times New Roman" w:hAnsi="Times New Roman" w:eastAsia="方正仿宋_GBK" w:cs="Times New Roman"/>
          <w:snapToGrid/>
          <w:kern w:val="2"/>
          <w:sz w:val="32"/>
          <w:szCs w:val="32"/>
          <w:lang w:val="en-US" w:eastAsia="zh-CN" w:bidi="ar-SA"/>
        </w:rPr>
        <w:t>通过奖补等方式扩大普惠性民办园覆盖面。提高普惠性民办园保教质量，提升吸引力。杜绝新增无证园。学前教育资源充足的区域，原则上不再审批新的民办幼儿园。</w:t>
      </w:r>
    </w:p>
    <w:p w14:paraId="1B6FED2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（三）全面提供幼儿园延时服务</w:t>
      </w:r>
    </w:p>
    <w:p w14:paraId="64F1B8E2">
      <w:pPr>
        <w:widowControl/>
        <w:kinsoku/>
        <w:autoSpaceDE/>
        <w:autoSpaceDN/>
        <w:adjustRightInd/>
        <w:snapToGrid/>
        <w:spacing w:line="64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 保障延时服务时间。</w:t>
      </w:r>
      <w:r>
        <w:rPr>
          <w:rFonts w:hint="default" w:ascii="Times New Roman" w:hAnsi="Times New Roman" w:eastAsia="方正仿宋_GBK" w:cs="Times New Roman"/>
          <w:snapToGrid/>
          <w:kern w:val="2"/>
          <w:sz w:val="32"/>
          <w:szCs w:val="32"/>
          <w:lang w:val="en-US" w:eastAsia="zh-CN" w:bidi="ar-SA"/>
        </w:rPr>
        <w:t>幼儿园在周一至周五下午放学后提供延时服务，结束时间与当地正常下班时间相适应，原则上不少于1小时。幼儿园可根据实际设置多个离园时间点供家长选择。坚持公益普惠原则，家长自愿决定幼儿是否参加，幼儿园不得强制或变相强制参加。</w:t>
      </w:r>
    </w:p>
    <w:p w14:paraId="6ED6F041">
      <w:pPr>
        <w:keepNext w:val="0"/>
        <w:keepLines w:val="0"/>
        <w:pageBreakBefore w:val="0"/>
        <w:widowControl w:val="0"/>
        <w:kinsoku/>
        <w:wordWrap/>
        <w:overflowPunct/>
        <w:topLinePunct w:val="0"/>
        <w:autoSpaceDE/>
        <w:autoSpaceDN/>
        <w:bidi w:val="0"/>
        <w:adjustRightInd/>
        <w:snapToGrid/>
        <w:spacing w:line="64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仿宋" w:cs="Times New Roman"/>
          <w:b/>
          <w:bCs/>
          <w:snapToGrid/>
          <w:kern w:val="2"/>
          <w:sz w:val="32"/>
          <w:szCs w:val="32"/>
          <w:lang w:val="en-US" w:eastAsia="zh-CN" w:bidi="ar-SA"/>
        </w:rPr>
        <w:t xml:space="preserve">2. </w:t>
      </w:r>
      <w:r>
        <w:rPr>
          <w:rFonts w:hint="default" w:ascii="Times New Roman" w:hAnsi="Times New Roman" w:eastAsia="方正仿宋_GBK" w:cs="Times New Roman"/>
          <w:b/>
          <w:bCs/>
          <w:snapToGrid/>
          <w:kern w:val="2"/>
          <w:sz w:val="32"/>
          <w:szCs w:val="32"/>
          <w:lang w:val="en-US" w:eastAsia="zh-CN" w:bidi="ar-SA"/>
        </w:rPr>
        <w:t>提升延时服务质量。</w:t>
      </w:r>
      <w:r>
        <w:rPr>
          <w:rFonts w:hint="default" w:ascii="Times New Roman" w:hAnsi="Times New Roman" w:eastAsia="方正仿宋_GBK" w:cs="Times New Roman"/>
          <w:snapToGrid/>
          <w:kern w:val="2"/>
          <w:sz w:val="32"/>
          <w:szCs w:val="32"/>
          <w:lang w:val="en-US" w:eastAsia="zh-CN" w:bidi="ar-SA"/>
        </w:rPr>
        <w:t>延时服务一般由本园教师承担，也可聘任退休教师、具备资质的社会专业人员或志愿者参与。幼儿园结合现有资源和家长需求，“一园一案”制订具体实施方案。遵循教育规律和幼儿成长规律，提供适合幼儿身心发展的服务活动，不得借延时服务开展“小学化”教学，不得开展营利性活动。</w:t>
      </w:r>
    </w:p>
    <w:p w14:paraId="12BAD0C8">
      <w:pPr>
        <w:keepNext w:val="0"/>
        <w:keepLines w:val="0"/>
        <w:pageBreakBefore w:val="0"/>
        <w:widowControl w:val="0"/>
        <w:kinsoku/>
        <w:wordWrap/>
        <w:overflowPunct/>
        <w:topLinePunct w:val="0"/>
        <w:autoSpaceDE/>
        <w:autoSpaceDN/>
        <w:bidi w:val="0"/>
        <w:adjustRightInd/>
        <w:snapToGrid/>
        <w:spacing w:line="64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黑体_GBK" w:cs="Times New Roman"/>
          <w:b w:val="0"/>
          <w:bCs w:val="0"/>
          <w:snapToGrid/>
          <w:kern w:val="2"/>
          <w:sz w:val="32"/>
          <w:szCs w:val="32"/>
          <w:lang w:val="en-US" w:eastAsia="zh-CN" w:bidi="ar-SA"/>
        </w:rPr>
        <w:t>三、支持政策</w:t>
      </w:r>
    </w:p>
    <w:p w14:paraId="0D437E9D">
      <w:pPr>
        <w:widowControl/>
        <w:kinsoku/>
        <w:autoSpaceDE/>
        <w:autoSpaceDN/>
        <w:adjustRightInd/>
        <w:snapToGrid/>
        <w:spacing w:line="64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（一）完善财政补助政策。</w:t>
      </w:r>
      <w:r>
        <w:rPr>
          <w:rFonts w:hint="default" w:ascii="Times New Roman" w:hAnsi="Times New Roman" w:eastAsia="方正仿宋_GBK" w:cs="Times New Roman"/>
          <w:snapToGrid/>
          <w:kern w:val="2"/>
          <w:sz w:val="32"/>
          <w:szCs w:val="32"/>
          <w:lang w:val="en-US" w:eastAsia="zh-CN" w:bidi="ar-SA"/>
        </w:rPr>
        <w:t>区政府承担幼儿托育服务建设主体责任，负责相关资金保障。区财政统筹安排资金，对完成新增托位分解任务的乡街、社区中心进行奖补。逐步提高学前教育财政投入水平，公办幼儿园生均公用经费财政拨款标准不低于600元/生·年，普惠性民办幼儿园补助标准不低于400元/生·年。对参加延时服务的幼儿按300元/生·年标准补贴。对公办托育服务机构，按照不低于600元/生·年标准给予补贴；对民办普惠性托育服务机构，按照不低于400元/生·年</w:t>
      </w:r>
      <w:r>
        <w:rPr>
          <w:rFonts w:hint="default" w:ascii="Times New Roman" w:hAnsi="Times New Roman" w:eastAsia="方正仿宋_GBK" w:cs="Times New Roman"/>
          <w:snapToGrid/>
          <w:kern w:val="2"/>
          <w:sz w:val="32"/>
          <w:szCs w:val="32"/>
          <w:lang w:val="en" w:eastAsia="zh-CN" w:bidi="ar-SA"/>
        </w:rPr>
        <w:t>标准</w:t>
      </w:r>
      <w:r>
        <w:rPr>
          <w:rFonts w:hint="default" w:ascii="Times New Roman" w:hAnsi="Times New Roman" w:eastAsia="方正仿宋_GBK" w:cs="Times New Roman"/>
          <w:snapToGrid/>
          <w:kern w:val="2"/>
          <w:sz w:val="32"/>
          <w:szCs w:val="32"/>
          <w:lang w:val="en-US" w:eastAsia="zh-CN" w:bidi="ar-SA"/>
        </w:rPr>
        <w:t>给予</w:t>
      </w:r>
      <w:r>
        <w:rPr>
          <w:rFonts w:hint="default" w:ascii="Times New Roman" w:hAnsi="Times New Roman" w:eastAsia="方正仿宋_GBK" w:cs="Times New Roman"/>
          <w:snapToGrid/>
          <w:kern w:val="2"/>
          <w:sz w:val="32"/>
          <w:szCs w:val="32"/>
          <w:lang w:val="en" w:eastAsia="zh-CN" w:bidi="ar-SA"/>
        </w:rPr>
        <w:t>补贴。</w:t>
      </w:r>
      <w:r>
        <w:rPr>
          <w:rFonts w:hint="default" w:ascii="Times New Roman" w:hAnsi="Times New Roman" w:eastAsia="方正仿宋_GBK" w:cs="Times New Roman"/>
          <w:snapToGrid/>
          <w:kern w:val="2"/>
          <w:sz w:val="32"/>
          <w:szCs w:val="32"/>
          <w:lang w:val="en-US" w:eastAsia="zh-CN" w:bidi="ar-SA"/>
        </w:rPr>
        <w:t>对学前教育普及普惠发展目标任务完成较好的幼儿园，在分配教育督导评价奖励补助资金时予以激励。</w:t>
      </w:r>
    </w:p>
    <w:p w14:paraId="5D79FA04">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（二）明确收费政策。</w:t>
      </w:r>
      <w:r>
        <w:rPr>
          <w:rFonts w:hint="default" w:ascii="Times New Roman" w:hAnsi="Times New Roman" w:eastAsia="方正仿宋_GBK" w:cs="Times New Roman"/>
          <w:snapToGrid/>
          <w:kern w:val="2"/>
          <w:sz w:val="32"/>
          <w:szCs w:val="32"/>
          <w:lang w:val="en-US" w:eastAsia="zh-CN" w:bidi="ar-SA"/>
        </w:rPr>
        <w:t>公办托育机构收费参照公办幼儿园收费进行管理，非营利性民办托育机构收费实行政府指导价管理，具体收费政策由上级发改、卫健部门核定。营利性托育机构收费标准实行市场调节、明码标价。出台非营利性民办学校（幼儿园）收费政策，合理核定办园成本，明确收费标准，坚决遏制过高收费和过度逐利行为。综合考虑经济发展水平、群众承受能力和办园成本等因素，动态调整公办幼儿园、非营利性民办幼儿园收费标准。将公办幼儿园、非营利性民办幼儿园延时服务收费纳入政府指导价管理，制定幼儿园延时服务收费政策。</w:t>
      </w:r>
    </w:p>
    <w:p w14:paraId="39DD978F">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（三）强化要素保障。</w:t>
      </w:r>
      <w:r>
        <w:rPr>
          <w:rFonts w:hint="default" w:ascii="Times New Roman" w:hAnsi="Times New Roman" w:eastAsia="方正仿宋_GBK" w:cs="Times New Roman"/>
          <w:snapToGrid/>
          <w:kern w:val="2"/>
          <w:sz w:val="32"/>
          <w:szCs w:val="32"/>
          <w:lang w:val="en-US" w:eastAsia="zh-CN" w:bidi="ar-SA"/>
        </w:rPr>
        <w:t>托育机构按照设置标准合理配备照护服务人员。进一步完善公办幼儿园教职工“管理团队编制保障法”。明确托育服务从业人员、幼儿园教职工最低工资标准，制定延时服务参与人员补助办法。非营利性幼儿园、托育服务设施用地，符合《划拨用地目录》的，可采取划拨方式予以保障。对托育等社区家庭服务业落实税费优惠政策，对取得非营利性组织免税资格的托育机构符合条件的收入免征企业所得税。普惠性托育机构和幼儿园用电、用水、用气、用热执行居民生活类价格政策。</w:t>
      </w:r>
    </w:p>
    <w:p w14:paraId="245C1C3F">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p>
    <w:p w14:paraId="15FA41BB">
      <w:pPr>
        <w:widowControl w:val="0"/>
        <w:jc w:val="center"/>
        <w:rPr>
          <w:rFonts w:hint="default" w:ascii="Times New Roman" w:hAnsi="Times New Roman" w:eastAsia="方正小标宋_GBK" w:cs="Times New Roman"/>
          <w:kern w:val="0"/>
          <w:sz w:val="44"/>
          <w:szCs w:val="44"/>
          <w:lang w:val="en-US" w:eastAsia="zh-CN" w:bidi="ar-SA"/>
        </w:rPr>
      </w:pPr>
      <w:r>
        <w:rPr>
          <w:rFonts w:hint="default" w:ascii="Times New Roman" w:hAnsi="Times New Roman" w:eastAsia="方正小标宋_GBK" w:cs="Times New Roman"/>
          <w:kern w:val="0"/>
          <w:sz w:val="44"/>
          <w:szCs w:val="44"/>
          <w:lang w:val="en-US" w:eastAsia="zh-CN" w:bidi="ar-SA"/>
        </w:rPr>
        <w:t>重点工作任务分工</w:t>
      </w:r>
    </w:p>
    <w:p w14:paraId="08D660EA">
      <w:pPr>
        <w:widowControl w:val="0"/>
        <w:jc w:val="center"/>
        <w:rPr>
          <w:rFonts w:hint="default" w:ascii="Times New Roman" w:hAnsi="Times New Roman" w:eastAsia="方正小标宋_GBK" w:cs="Times New Roman"/>
          <w:kern w:val="0"/>
          <w:sz w:val="44"/>
          <w:szCs w:val="44"/>
          <w:lang w:val="en-US" w:eastAsia="zh-CN" w:bidi="ar-SA"/>
        </w:rPr>
      </w:pPr>
    </w:p>
    <w:tbl>
      <w:tblPr>
        <w:tblStyle w:val="10"/>
        <w:tblW w:w="8744" w:type="dxa"/>
        <w:jc w:val="center"/>
        <w:tblLayout w:type="fixed"/>
        <w:tblCellMar>
          <w:top w:w="0" w:type="dxa"/>
          <w:left w:w="0" w:type="dxa"/>
          <w:bottom w:w="0" w:type="dxa"/>
          <w:right w:w="0" w:type="dxa"/>
        </w:tblCellMar>
      </w:tblPr>
      <w:tblGrid>
        <w:gridCol w:w="826"/>
        <w:gridCol w:w="3100"/>
        <w:gridCol w:w="2800"/>
        <w:gridCol w:w="2018"/>
      </w:tblGrid>
      <w:tr w14:paraId="58AD5106">
        <w:tblPrEx>
          <w:tblCellMar>
            <w:top w:w="0" w:type="dxa"/>
            <w:left w:w="0" w:type="dxa"/>
            <w:bottom w:w="0" w:type="dxa"/>
            <w:right w:w="0" w:type="dxa"/>
          </w:tblCellMar>
        </w:tblPrEx>
        <w:trPr>
          <w:trHeight w:val="660"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AFC007">
            <w:pPr>
              <w:widowControl/>
              <w:kinsoku/>
              <w:autoSpaceDE/>
              <w:autoSpaceDN/>
              <w:adjustRightInd/>
              <w:snapToGrid/>
              <w:spacing w:line="320" w:lineRule="exact"/>
              <w:jc w:val="center"/>
              <w:textAlignment w:val="center"/>
              <w:rPr>
                <w:rFonts w:hint="default" w:ascii="Times New Roman" w:hAnsi="Times New Roman" w:eastAsia="方正黑体_GBK" w:cs="Times New Roman"/>
                <w:snapToGrid/>
                <w:color w:val="000000"/>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
              </w:rPr>
              <w:t>序号</w:t>
            </w:r>
          </w:p>
        </w:tc>
        <w:tc>
          <w:tcPr>
            <w:tcW w:w="3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AFBBBE">
            <w:pPr>
              <w:widowControl/>
              <w:kinsoku/>
              <w:autoSpaceDE/>
              <w:autoSpaceDN/>
              <w:adjustRightInd/>
              <w:snapToGrid/>
              <w:spacing w:line="320" w:lineRule="exact"/>
              <w:jc w:val="center"/>
              <w:textAlignment w:val="center"/>
              <w:rPr>
                <w:rFonts w:hint="default" w:ascii="Times New Roman" w:hAnsi="Times New Roman" w:eastAsia="方正黑体_GBK" w:cs="Times New Roman"/>
                <w:snapToGrid/>
                <w:color w:val="000000"/>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
              </w:rPr>
              <w:t>重点任务</w:t>
            </w:r>
          </w:p>
        </w:tc>
        <w:tc>
          <w:tcPr>
            <w:tcW w:w="2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9043FBC">
            <w:pPr>
              <w:widowControl/>
              <w:kinsoku/>
              <w:autoSpaceDE/>
              <w:autoSpaceDN/>
              <w:adjustRightInd/>
              <w:snapToGrid/>
              <w:spacing w:line="320" w:lineRule="exact"/>
              <w:jc w:val="center"/>
              <w:textAlignment w:val="center"/>
              <w:rPr>
                <w:rFonts w:hint="default" w:ascii="Times New Roman" w:hAnsi="Times New Roman" w:eastAsia="方正黑体_GBK" w:cs="Times New Roman"/>
                <w:snapToGrid/>
                <w:color w:val="000000"/>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
              </w:rPr>
              <w:t>时限要求</w:t>
            </w:r>
          </w:p>
        </w:tc>
        <w:tc>
          <w:tcPr>
            <w:tcW w:w="20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21277D">
            <w:pPr>
              <w:widowControl/>
              <w:kinsoku/>
              <w:autoSpaceDE/>
              <w:autoSpaceDN/>
              <w:adjustRightInd/>
              <w:snapToGrid/>
              <w:spacing w:line="320" w:lineRule="exact"/>
              <w:jc w:val="center"/>
              <w:textAlignment w:val="center"/>
              <w:rPr>
                <w:rFonts w:hint="default" w:ascii="Times New Roman" w:hAnsi="Times New Roman" w:eastAsia="方正黑体_GBK" w:cs="Times New Roman"/>
                <w:snapToGrid/>
                <w:color w:val="000000"/>
                <w:kern w:val="2"/>
                <w:sz w:val="28"/>
                <w:szCs w:val="28"/>
                <w:lang w:val="en-US" w:eastAsia="zh-CN" w:bidi="ar-SA"/>
              </w:rPr>
            </w:pPr>
            <w:r>
              <w:rPr>
                <w:rFonts w:hint="default" w:ascii="Times New Roman" w:hAnsi="Times New Roman" w:eastAsia="方正黑体_GBK" w:cs="Times New Roman"/>
                <w:snapToGrid/>
                <w:color w:val="000000"/>
                <w:kern w:val="0"/>
                <w:sz w:val="28"/>
                <w:szCs w:val="28"/>
                <w:lang w:val="en-US" w:eastAsia="zh-CN" w:bidi="ar"/>
              </w:rPr>
              <w:t>责任单位</w:t>
            </w:r>
          </w:p>
        </w:tc>
      </w:tr>
      <w:tr w14:paraId="065CB74D">
        <w:tblPrEx>
          <w:tblCellMar>
            <w:top w:w="0" w:type="dxa"/>
            <w:left w:w="0" w:type="dxa"/>
            <w:bottom w:w="0" w:type="dxa"/>
            <w:right w:w="0" w:type="dxa"/>
          </w:tblCellMar>
        </w:tblPrEx>
        <w:trPr>
          <w:trHeight w:val="2175"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B887D">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1</w:t>
            </w:r>
          </w:p>
        </w:tc>
        <w:tc>
          <w:tcPr>
            <w:tcW w:w="3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D43BF6E">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建设托育服务机构。</w:t>
            </w:r>
          </w:p>
        </w:tc>
        <w:tc>
          <w:tcPr>
            <w:tcW w:w="28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E84623">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2022-2025年，每年推进申报创建1个示范性托育服务机构，每年至少建成1个普惠性托育服务机构。至2025年底，公立独立托育服务机构不少于1个。</w:t>
            </w:r>
          </w:p>
        </w:tc>
        <w:tc>
          <w:tcPr>
            <w:tcW w:w="2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23C3E53">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区卫生健康委牵头，区发展改革委、区财政局、区自然资源局、区住房城乡建设局按职责分工负责</w:t>
            </w:r>
          </w:p>
        </w:tc>
      </w:tr>
      <w:tr w14:paraId="56B1F674">
        <w:tblPrEx>
          <w:tblCellMar>
            <w:top w:w="0" w:type="dxa"/>
            <w:left w:w="0" w:type="dxa"/>
            <w:bottom w:w="0" w:type="dxa"/>
            <w:right w:w="0" w:type="dxa"/>
          </w:tblCellMar>
        </w:tblPrEx>
        <w:trPr>
          <w:trHeight w:val="1205"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41F6E2">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w:t>
            </w:r>
          </w:p>
        </w:tc>
        <w:tc>
          <w:tcPr>
            <w:tcW w:w="31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368C474">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30%的幼儿园为2-3周岁婴幼儿开设托班。</w:t>
            </w:r>
          </w:p>
        </w:tc>
        <w:tc>
          <w:tcPr>
            <w:tcW w:w="28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7F81CD0">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2022年达到5%；2023年达到10%；2024年达到20%；2025年达到30%。</w:t>
            </w:r>
          </w:p>
        </w:tc>
        <w:tc>
          <w:tcPr>
            <w:tcW w:w="20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918C7D">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区教体局牵头，区卫生健康委配合</w:t>
            </w:r>
          </w:p>
        </w:tc>
      </w:tr>
      <w:tr w14:paraId="28371AC9">
        <w:tblPrEx>
          <w:tblCellMar>
            <w:top w:w="0" w:type="dxa"/>
            <w:left w:w="0" w:type="dxa"/>
            <w:bottom w:w="0" w:type="dxa"/>
            <w:right w:w="0" w:type="dxa"/>
          </w:tblCellMar>
        </w:tblPrEx>
        <w:trPr>
          <w:trHeight w:val="2015"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35E7F0">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3</w:t>
            </w:r>
          </w:p>
        </w:tc>
        <w:tc>
          <w:tcPr>
            <w:tcW w:w="3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441514">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开展幼儿园延时服务。</w:t>
            </w:r>
          </w:p>
        </w:tc>
        <w:tc>
          <w:tcPr>
            <w:tcW w:w="28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3B073E9">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2022年秋季学期，幼儿园延时服务实现全覆盖；2023年春季学期，努力实现有需要的幼儿全覆盖，家长按时“接娃难”问题基本解决。</w:t>
            </w:r>
          </w:p>
        </w:tc>
        <w:tc>
          <w:tcPr>
            <w:tcW w:w="2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6D4A909">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区教体局牵头，区发展改革委、区</w:t>
            </w:r>
            <w:r>
              <w:rPr>
                <w:rFonts w:hint="eastAsia" w:ascii="Times New Roman" w:hAnsi="Times New Roman" w:eastAsia="方正仿宋_GBK" w:cs="Times New Roman"/>
                <w:snapToGrid/>
                <w:color w:val="000000"/>
                <w:kern w:val="0"/>
                <w:sz w:val="24"/>
                <w:szCs w:val="24"/>
                <w:lang w:val="en-US" w:eastAsia="zh-CN" w:bidi="ar"/>
              </w:rPr>
              <w:t>人力资源和社会保障局</w:t>
            </w:r>
            <w:r>
              <w:rPr>
                <w:rFonts w:hint="default" w:ascii="Times New Roman" w:hAnsi="Times New Roman" w:eastAsia="方正仿宋_GBK" w:cs="Times New Roman"/>
                <w:snapToGrid/>
                <w:color w:val="000000"/>
                <w:kern w:val="0"/>
                <w:sz w:val="24"/>
                <w:szCs w:val="24"/>
                <w:lang w:val="en-US" w:eastAsia="zh-CN" w:bidi="ar"/>
              </w:rPr>
              <w:t>、区财政局按职责分工负责</w:t>
            </w:r>
          </w:p>
        </w:tc>
      </w:tr>
      <w:tr w14:paraId="18F32597">
        <w:tblPrEx>
          <w:tblCellMar>
            <w:top w:w="0" w:type="dxa"/>
            <w:left w:w="0" w:type="dxa"/>
            <w:bottom w:w="0" w:type="dxa"/>
            <w:right w:w="0" w:type="dxa"/>
          </w:tblCellMar>
        </w:tblPrEx>
        <w:trPr>
          <w:trHeight w:val="900"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FD2519D">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4</w:t>
            </w:r>
          </w:p>
        </w:tc>
        <w:tc>
          <w:tcPr>
            <w:tcW w:w="31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A6FA97">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制定幼儿园延时服务实施方案。</w:t>
            </w:r>
          </w:p>
        </w:tc>
        <w:tc>
          <w:tcPr>
            <w:tcW w:w="2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18BCAAC">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2022年底前。</w:t>
            </w:r>
          </w:p>
        </w:tc>
        <w:tc>
          <w:tcPr>
            <w:tcW w:w="2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7A543B4">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区教育局牵头，区委编办、区发展改革委、区</w:t>
            </w:r>
            <w:r>
              <w:rPr>
                <w:rFonts w:hint="eastAsia" w:ascii="Times New Roman" w:hAnsi="Times New Roman" w:eastAsia="方正仿宋_GBK" w:cs="Times New Roman"/>
                <w:snapToGrid/>
                <w:color w:val="000000"/>
                <w:kern w:val="0"/>
                <w:sz w:val="24"/>
                <w:szCs w:val="24"/>
                <w:lang w:val="en-US" w:eastAsia="zh-CN" w:bidi="ar"/>
              </w:rPr>
              <w:t>人力资源和社会保障局</w:t>
            </w:r>
            <w:r>
              <w:rPr>
                <w:rFonts w:hint="default" w:ascii="Times New Roman" w:hAnsi="Times New Roman" w:eastAsia="方正仿宋_GBK" w:cs="Times New Roman"/>
                <w:snapToGrid/>
                <w:color w:val="000000"/>
                <w:kern w:val="0"/>
                <w:sz w:val="24"/>
                <w:szCs w:val="24"/>
                <w:lang w:val="en-US" w:eastAsia="zh-CN" w:bidi="ar"/>
              </w:rPr>
              <w:t>、区财政局按职责分工负责</w:t>
            </w:r>
          </w:p>
        </w:tc>
      </w:tr>
      <w:tr w14:paraId="22356C25">
        <w:tblPrEx>
          <w:tblCellMar>
            <w:top w:w="0" w:type="dxa"/>
            <w:left w:w="0" w:type="dxa"/>
            <w:bottom w:w="0" w:type="dxa"/>
            <w:right w:w="0" w:type="dxa"/>
          </w:tblCellMar>
        </w:tblPrEx>
        <w:trPr>
          <w:trHeight w:val="2325"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331A5E">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5</w:t>
            </w:r>
          </w:p>
        </w:tc>
        <w:tc>
          <w:tcPr>
            <w:tcW w:w="31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C568B94">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将公办幼儿园、非营利性民办幼儿园延时服务收费纳入政府指导价管理，制定幼儿园延时服务收费政策。</w:t>
            </w:r>
          </w:p>
        </w:tc>
        <w:tc>
          <w:tcPr>
            <w:tcW w:w="2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A3F6FAE">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2022年底前。</w:t>
            </w:r>
          </w:p>
        </w:tc>
        <w:tc>
          <w:tcPr>
            <w:tcW w:w="20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89C3A7">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区发展改革委牵头，区教体局按职责分工落实</w:t>
            </w:r>
          </w:p>
        </w:tc>
      </w:tr>
      <w:tr w14:paraId="3CC55578">
        <w:tblPrEx>
          <w:tblCellMar>
            <w:top w:w="0" w:type="dxa"/>
            <w:left w:w="0" w:type="dxa"/>
            <w:bottom w:w="0" w:type="dxa"/>
            <w:right w:w="0" w:type="dxa"/>
          </w:tblCellMar>
        </w:tblPrEx>
        <w:trPr>
          <w:trHeight w:val="1360"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C2CE88">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6</w:t>
            </w:r>
          </w:p>
        </w:tc>
        <w:tc>
          <w:tcPr>
            <w:tcW w:w="31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02AE26C">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公办园生均财政拨款标准不低于600元/生·年、普惠性民办园补助标准不低于400元/生·年。对参加延时服务的幼儿按300元/生·年标准补贴。</w:t>
            </w:r>
          </w:p>
        </w:tc>
        <w:tc>
          <w:tcPr>
            <w:tcW w:w="2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D4A4D">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2022年底前。</w:t>
            </w:r>
          </w:p>
        </w:tc>
        <w:tc>
          <w:tcPr>
            <w:tcW w:w="20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DA9907">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区财政局牵头，区教体局配合</w:t>
            </w:r>
          </w:p>
        </w:tc>
      </w:tr>
      <w:tr w14:paraId="5355BBD6">
        <w:tblPrEx>
          <w:tblCellMar>
            <w:top w:w="0" w:type="dxa"/>
            <w:left w:w="0" w:type="dxa"/>
            <w:bottom w:w="0" w:type="dxa"/>
            <w:right w:w="0" w:type="dxa"/>
          </w:tblCellMar>
        </w:tblPrEx>
        <w:trPr>
          <w:trHeight w:val="1120"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38EF8DE">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7</w:t>
            </w:r>
          </w:p>
        </w:tc>
        <w:tc>
          <w:tcPr>
            <w:tcW w:w="31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E2125">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对学前教育普及普惠发展目标任务完成较好的幼儿园，在分配教育督导评价奖励补助资金时予以激励。</w:t>
            </w:r>
          </w:p>
        </w:tc>
        <w:tc>
          <w:tcPr>
            <w:tcW w:w="2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110138">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2022年底前。</w:t>
            </w:r>
          </w:p>
        </w:tc>
        <w:tc>
          <w:tcPr>
            <w:tcW w:w="20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E21D1F">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区财政局牵头，区教体局配合</w:t>
            </w:r>
          </w:p>
        </w:tc>
      </w:tr>
      <w:tr w14:paraId="60E630D1">
        <w:tblPrEx>
          <w:tblCellMar>
            <w:top w:w="0" w:type="dxa"/>
            <w:left w:w="0" w:type="dxa"/>
            <w:bottom w:w="0" w:type="dxa"/>
            <w:right w:w="0" w:type="dxa"/>
          </w:tblCellMar>
        </w:tblPrEx>
        <w:trPr>
          <w:trHeight w:val="740"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2E4BB5">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8</w:t>
            </w:r>
          </w:p>
        </w:tc>
        <w:tc>
          <w:tcPr>
            <w:tcW w:w="31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310B1B">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出台非营利性民办学校（幼儿园）收费政策。</w:t>
            </w:r>
          </w:p>
        </w:tc>
        <w:tc>
          <w:tcPr>
            <w:tcW w:w="2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15F63F">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2022年底前。</w:t>
            </w:r>
          </w:p>
        </w:tc>
        <w:tc>
          <w:tcPr>
            <w:tcW w:w="20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E730658">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区发改委牵头，区财政局、区教体局按职责分工负责</w:t>
            </w:r>
          </w:p>
        </w:tc>
      </w:tr>
      <w:tr w14:paraId="0EF89DC0">
        <w:tblPrEx>
          <w:tblCellMar>
            <w:top w:w="0" w:type="dxa"/>
            <w:left w:w="0" w:type="dxa"/>
            <w:bottom w:w="0" w:type="dxa"/>
            <w:right w:w="0" w:type="dxa"/>
          </w:tblCellMar>
        </w:tblPrEx>
        <w:trPr>
          <w:trHeight w:val="880"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7AD80D">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9</w:t>
            </w:r>
          </w:p>
        </w:tc>
        <w:tc>
          <w:tcPr>
            <w:tcW w:w="31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8C1E2">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指导督促幼儿园等用人单位落实最低工资标准制度，制定幼儿园延时服务参与人员补助办法，完善托育服务从业人员薪酬制度。</w:t>
            </w:r>
          </w:p>
        </w:tc>
        <w:tc>
          <w:tcPr>
            <w:tcW w:w="2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4AA903">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2022年底前。</w:t>
            </w:r>
          </w:p>
        </w:tc>
        <w:tc>
          <w:tcPr>
            <w:tcW w:w="201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3DCCC0">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区</w:t>
            </w:r>
            <w:r>
              <w:rPr>
                <w:rFonts w:hint="eastAsia" w:ascii="Times New Roman" w:hAnsi="Times New Roman" w:eastAsia="方正仿宋_GBK" w:cs="Times New Roman"/>
                <w:snapToGrid/>
                <w:color w:val="000000"/>
                <w:kern w:val="0"/>
                <w:sz w:val="24"/>
                <w:szCs w:val="24"/>
                <w:lang w:val="en-US" w:eastAsia="zh-CN" w:bidi="ar"/>
              </w:rPr>
              <w:t>人力资源和社会保障局</w:t>
            </w:r>
            <w:r>
              <w:rPr>
                <w:rFonts w:hint="default" w:ascii="Times New Roman" w:hAnsi="Times New Roman" w:eastAsia="方正仿宋_GBK" w:cs="Times New Roman"/>
                <w:snapToGrid/>
                <w:color w:val="000000"/>
                <w:kern w:val="0"/>
                <w:sz w:val="24"/>
                <w:szCs w:val="24"/>
                <w:lang w:val="en-US" w:eastAsia="zh-CN" w:bidi="ar"/>
              </w:rPr>
              <w:t>牵头，区教体局配合</w:t>
            </w:r>
          </w:p>
        </w:tc>
      </w:tr>
      <w:tr w14:paraId="7905B2E4">
        <w:tblPrEx>
          <w:tblCellMar>
            <w:top w:w="0" w:type="dxa"/>
            <w:left w:w="0" w:type="dxa"/>
            <w:bottom w:w="0" w:type="dxa"/>
            <w:right w:w="0" w:type="dxa"/>
          </w:tblCellMar>
        </w:tblPrEx>
        <w:trPr>
          <w:trHeight w:val="740" w:hRule="atLeast"/>
          <w:jc w:val="center"/>
        </w:trPr>
        <w:tc>
          <w:tcPr>
            <w:tcW w:w="82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1EDECF">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10</w:t>
            </w:r>
          </w:p>
        </w:tc>
        <w:tc>
          <w:tcPr>
            <w:tcW w:w="31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083FE1">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进一步深化完善公办幼儿园教职工“管理团队编制保障法”。</w:t>
            </w:r>
          </w:p>
        </w:tc>
        <w:tc>
          <w:tcPr>
            <w:tcW w:w="28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5739FA">
            <w:pPr>
              <w:widowControl/>
              <w:kinsoku/>
              <w:autoSpaceDE/>
              <w:autoSpaceDN/>
              <w:adjustRightInd/>
              <w:snapToGrid/>
              <w:spacing w:line="320" w:lineRule="exact"/>
              <w:jc w:val="center"/>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2022年底前。</w:t>
            </w:r>
          </w:p>
        </w:tc>
        <w:tc>
          <w:tcPr>
            <w:tcW w:w="201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3C1B554">
            <w:pPr>
              <w:widowControl/>
              <w:kinsoku/>
              <w:autoSpaceDE/>
              <w:autoSpaceDN/>
              <w:adjustRightInd/>
              <w:snapToGrid/>
              <w:spacing w:line="320" w:lineRule="exact"/>
              <w:jc w:val="left"/>
              <w:textAlignment w:val="center"/>
              <w:rPr>
                <w:rFonts w:hint="default" w:ascii="Times New Roman" w:hAnsi="Times New Roman" w:eastAsia="方正仿宋_GBK" w:cs="Times New Roman"/>
                <w:snapToGrid/>
                <w:color w:val="000000"/>
                <w:kern w:val="0"/>
                <w:sz w:val="24"/>
                <w:szCs w:val="24"/>
                <w:lang w:val="en-US" w:eastAsia="zh-CN" w:bidi="ar"/>
              </w:rPr>
            </w:pPr>
            <w:r>
              <w:rPr>
                <w:rFonts w:hint="default" w:ascii="Times New Roman" w:hAnsi="Times New Roman" w:eastAsia="方正仿宋_GBK" w:cs="Times New Roman"/>
                <w:snapToGrid/>
                <w:color w:val="000000"/>
                <w:kern w:val="0"/>
                <w:sz w:val="24"/>
                <w:szCs w:val="24"/>
                <w:lang w:val="en-US" w:eastAsia="zh-CN" w:bidi="ar"/>
              </w:rPr>
              <w:t>区委编办牵头，区发展改革委、区教体局、区财政局、区</w:t>
            </w:r>
            <w:r>
              <w:rPr>
                <w:rFonts w:hint="eastAsia" w:ascii="Times New Roman" w:hAnsi="Times New Roman" w:eastAsia="方正仿宋_GBK" w:cs="Times New Roman"/>
                <w:snapToGrid/>
                <w:color w:val="000000"/>
                <w:kern w:val="0"/>
                <w:sz w:val="24"/>
                <w:szCs w:val="24"/>
                <w:lang w:val="en-US" w:eastAsia="zh-CN" w:bidi="ar"/>
              </w:rPr>
              <w:t>人力资源和社会保障局</w:t>
            </w:r>
            <w:r>
              <w:rPr>
                <w:rFonts w:hint="default" w:ascii="Times New Roman" w:hAnsi="Times New Roman" w:eastAsia="方正仿宋_GBK" w:cs="Times New Roman"/>
                <w:snapToGrid/>
                <w:color w:val="000000"/>
                <w:kern w:val="0"/>
                <w:sz w:val="24"/>
                <w:szCs w:val="24"/>
                <w:lang w:val="en-US" w:eastAsia="zh-CN" w:bidi="ar"/>
              </w:rPr>
              <w:t>按职责分工负责</w:t>
            </w:r>
          </w:p>
        </w:tc>
      </w:tr>
    </w:tbl>
    <w:p w14:paraId="476AA0C7">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b/>
          <w:bCs/>
          <w:snapToGrid/>
          <w:kern w:val="0"/>
          <w:sz w:val="32"/>
          <w:szCs w:val="32"/>
          <w:shd w:val="clear" w:color="auto" w:fill="FFFFFF"/>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p>
    <w:p w14:paraId="71E9F8C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baseline"/>
        <w:rPr>
          <w:rFonts w:hint="default" w:ascii="Times New Roman" w:hAnsi="Times New Roman" w:eastAsia="方正黑体_GBK" w:cs="Times New Roman"/>
          <w:bCs/>
          <w:snapToGrid/>
          <w:kern w:val="2"/>
          <w:sz w:val="32"/>
          <w:szCs w:val="32"/>
          <w:lang w:val="en-US" w:eastAsia="zh-CN" w:bidi="ar-SA"/>
        </w:rPr>
      </w:pPr>
      <w:r>
        <w:rPr>
          <w:rFonts w:hint="default" w:ascii="Times New Roman" w:hAnsi="Times New Roman" w:eastAsia="方正黑体_GBK" w:cs="Times New Roman"/>
          <w:bCs/>
          <w:snapToGrid/>
          <w:kern w:val="2"/>
          <w:sz w:val="32"/>
          <w:szCs w:val="32"/>
          <w:lang w:val="en-US" w:eastAsia="zh-CN" w:bidi="ar-SA"/>
        </w:rPr>
        <w:t>附件8</w:t>
      </w:r>
    </w:p>
    <w:p w14:paraId="26A2E47C">
      <w:pPr>
        <w:widowControl w:val="0"/>
        <w:ind w:left="111" w:firstLine="631"/>
        <w:jc w:val="both"/>
        <w:rPr>
          <w:rFonts w:hint="default" w:ascii="Times New Roman" w:hAnsi="Times New Roman" w:cs="Times New Roman" w:eastAsiaTheme="minorEastAsia"/>
          <w:kern w:val="2"/>
          <w:sz w:val="32"/>
          <w:szCs w:val="32"/>
          <w:lang w:val="en-US" w:eastAsia="zh-CN" w:bidi="ar-SA"/>
        </w:rPr>
      </w:pPr>
    </w:p>
    <w:p w14:paraId="44F2579B">
      <w:pPr>
        <w:keepNext w:val="0"/>
        <w:keepLines w:val="0"/>
        <w:pageBreakBefore w:val="0"/>
        <w:widowControl w:val="0"/>
        <w:kinsoku/>
        <w:wordWrap/>
        <w:overflowPunct/>
        <w:topLinePunct w:val="0"/>
        <w:autoSpaceDE/>
        <w:autoSpaceDN/>
        <w:bidi w:val="0"/>
        <w:adjustRightInd/>
        <w:snapToGrid/>
        <w:spacing w:line="590" w:lineRule="exact"/>
        <w:jc w:val="center"/>
        <w:textAlignment w:val="baseline"/>
        <w:rPr>
          <w:rFonts w:hint="default" w:ascii="Times New Roman" w:hAnsi="Times New Roman" w:eastAsia="方正小标宋_GBK" w:cs="Times New Roman"/>
          <w:bCs/>
          <w:snapToGrid/>
          <w:kern w:val="2"/>
          <w:sz w:val="44"/>
          <w:szCs w:val="44"/>
          <w:lang w:val="en-US" w:eastAsia="zh-CN" w:bidi="ar-SA"/>
        </w:rPr>
      </w:pPr>
      <w:r>
        <w:rPr>
          <w:rFonts w:hint="default" w:ascii="Times New Roman" w:hAnsi="Times New Roman" w:eastAsia="方正小标宋_GBK" w:cs="Times New Roman"/>
          <w:bCs/>
          <w:snapToGrid/>
          <w:kern w:val="2"/>
          <w:sz w:val="44"/>
          <w:szCs w:val="44"/>
          <w:lang w:val="en-US" w:eastAsia="zh-CN" w:bidi="ar-SA"/>
        </w:rPr>
        <w:t>龙子湖区快乐健身行动方案</w:t>
      </w:r>
    </w:p>
    <w:p w14:paraId="361B0B81">
      <w:pPr>
        <w:keepNext w:val="0"/>
        <w:keepLines w:val="0"/>
        <w:pageBreakBefore w:val="0"/>
        <w:widowControl w:val="0"/>
        <w:kinsoku/>
        <w:wordWrap/>
        <w:overflowPunct/>
        <w:topLinePunct w:val="0"/>
        <w:autoSpaceDE/>
        <w:autoSpaceDN/>
        <w:bidi w:val="0"/>
        <w:adjustRightInd/>
        <w:snapToGrid/>
        <w:spacing w:line="590" w:lineRule="exact"/>
        <w:ind w:firstLine="880" w:firstLineChars="200"/>
        <w:jc w:val="center"/>
        <w:textAlignment w:val="baseline"/>
        <w:rPr>
          <w:rFonts w:hint="default" w:ascii="Times New Roman" w:hAnsi="Times New Roman" w:eastAsia="方正小标宋简体" w:cs="Times New Roman"/>
          <w:bCs/>
          <w:snapToGrid/>
          <w:kern w:val="2"/>
          <w:sz w:val="44"/>
          <w:szCs w:val="44"/>
          <w:lang w:val="en-US" w:eastAsia="zh-CN" w:bidi="ar-SA"/>
        </w:rPr>
      </w:pPr>
    </w:p>
    <w:p w14:paraId="0C362E7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一、目标任务</w:t>
      </w:r>
    </w:p>
    <w:p w14:paraId="00138BA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到2023年,全面完成全区居住小区和行政村现有健身设施的维修、改造和提升，以及未配建健身设施小区的配建工作，基本实现城乡居民身边健身设施全覆盖。</w:t>
      </w:r>
    </w:p>
    <w:p w14:paraId="242F232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到2025年,新建全民健身步道20公里,实现城市功能、体育元素、文化旅游等公共空间连点成线、互联互通，基本形成“城乡有统筹、健身有地方、运动有技能、活动有氛围”的全民健身新格局。</w:t>
      </w:r>
    </w:p>
    <w:p w14:paraId="4FA77A5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二、工作措施</w:t>
      </w:r>
    </w:p>
    <w:p w14:paraId="3CE2EBC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(一）完善群众身边的健身设施</w:t>
      </w:r>
    </w:p>
    <w:p w14:paraId="5AC72B64">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1．制定标准。</w:t>
      </w:r>
      <w:r>
        <w:rPr>
          <w:rFonts w:hint="default" w:ascii="Times New Roman" w:hAnsi="Times New Roman" w:eastAsia="方正仿宋_GBK" w:cs="Times New Roman"/>
          <w:snapToGrid/>
          <w:kern w:val="2"/>
          <w:sz w:val="32"/>
          <w:szCs w:val="32"/>
          <w:lang w:val="en-US" w:eastAsia="zh-CN" w:bidi="ar-SA"/>
        </w:rPr>
        <w:t>根据常住人口总量、结构、流动趋势,以居民需求为导向，配置全民健身公共服务资源，结合实际制定健身设施配建“莱单”，真正将群众喜欢的健身设施配到群众身边，提高健身设施使用效益，防止</w:t>
      </w:r>
      <w:r>
        <w:rPr>
          <w:rFonts w:hint="eastAsia" w:ascii="Times New Roman" w:hAnsi="Times New Roman" w:eastAsia="方正仿宋_GBK" w:cs="Times New Roman"/>
          <w:snapToGrid/>
          <w:kern w:val="2"/>
          <w:sz w:val="32"/>
          <w:szCs w:val="32"/>
          <w:lang w:val="en-US" w:eastAsia="zh-CN" w:bidi="ar-SA"/>
        </w:rPr>
        <w:t>简</w:t>
      </w:r>
      <w:r>
        <w:rPr>
          <w:rFonts w:hint="default" w:ascii="Times New Roman" w:hAnsi="Times New Roman" w:eastAsia="方正仿宋_GBK" w:cs="Times New Roman"/>
          <w:snapToGrid/>
          <w:kern w:val="2"/>
          <w:sz w:val="32"/>
          <w:szCs w:val="32"/>
          <w:lang w:val="en-US" w:eastAsia="zh-CN" w:bidi="ar-SA"/>
        </w:rPr>
        <w:t>单化、“一刀切”。</w:t>
      </w:r>
    </w:p>
    <w:p w14:paraId="5DE8393F">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2．加快建设。</w:t>
      </w:r>
      <w:r>
        <w:rPr>
          <w:rFonts w:hint="default" w:ascii="Times New Roman" w:hAnsi="Times New Roman" w:eastAsia="方正仿宋_GBK" w:cs="Times New Roman"/>
          <w:snapToGrid/>
          <w:kern w:val="2"/>
          <w:sz w:val="32"/>
          <w:szCs w:val="32"/>
          <w:lang w:val="en-US" w:eastAsia="zh-CN" w:bidi="ar-SA"/>
        </w:rPr>
        <w:t>对已建小区，坚持“应修尽修、应改尽改、应建尽建”，全面维修、改造、升级、补建，因地制宜、见缝插针、科学布点。对新建小区，严格按照室内人均建筑面积不低于0.1平方米或室外人均用地不低于0.3平方米标准配建,并纳入施工图纸审查,验收未达标的不得交付使用。对行政村健身设施，根据区域特点、乡土特色和居民需求，全面改造升级，提高针对性和实效性。</w:t>
      </w:r>
    </w:p>
    <w:p w14:paraId="738E9123">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3．加强维保。</w:t>
      </w:r>
      <w:r>
        <w:rPr>
          <w:rFonts w:hint="default" w:ascii="Times New Roman" w:hAnsi="Times New Roman" w:eastAsia="方正仿宋_GBK" w:cs="Times New Roman"/>
          <w:snapToGrid/>
          <w:kern w:val="2"/>
          <w:sz w:val="32"/>
          <w:szCs w:val="32"/>
          <w:lang w:val="en-US" w:eastAsia="zh-CN" w:bidi="ar-SA"/>
        </w:rPr>
        <w:t>把全民健身公共服务纳入社区和乡村服务体系，乡镇(街道)负责健身设施日常维护、保养和管理，提供必要的人员和经费，保障健身设施安全使用。</w:t>
      </w:r>
    </w:p>
    <w:p w14:paraId="0D1A4B7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(二)加快城市健身步道建设</w:t>
      </w:r>
    </w:p>
    <w:p w14:paraId="164C373D">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1．规划引领。</w:t>
      </w:r>
      <w:r>
        <w:rPr>
          <w:rFonts w:hint="default" w:ascii="Times New Roman" w:hAnsi="Times New Roman" w:eastAsia="方正仿宋_GBK" w:cs="Times New Roman"/>
          <w:snapToGrid/>
          <w:kern w:val="2"/>
          <w:sz w:val="32"/>
          <w:szCs w:val="32"/>
          <w:lang w:val="en-US" w:eastAsia="zh-CN" w:bidi="ar-SA"/>
        </w:rPr>
        <w:t>制定龙子湖区健身步道建设内容和标准，将健身步道建设纳入国土空间规划。</w:t>
      </w:r>
    </w:p>
    <w:p w14:paraId="7292A9D3">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2．形成网络。</w:t>
      </w:r>
      <w:r>
        <w:rPr>
          <w:rFonts w:hint="default" w:ascii="Times New Roman" w:hAnsi="Times New Roman" w:eastAsia="方正仿宋_GBK" w:cs="Times New Roman"/>
          <w:snapToGrid/>
          <w:kern w:val="2"/>
          <w:sz w:val="32"/>
          <w:szCs w:val="32"/>
          <w:lang w:val="en-US" w:eastAsia="zh-CN" w:bidi="ar-SA"/>
        </w:rPr>
        <w:t>启动健身步道“断头路”畅通工程，打通红绿灯阻隔，推动城市公园步道系统互联互通，逐步串起城市公共空间、历史文化节点、主要公共服务设施、重要居住片区、重要交通接驳点，连点成线，形成立体化步道网络,打造集交通、文化、旅游等功能为一体的综合健身空间。</w:t>
      </w:r>
    </w:p>
    <w:p w14:paraId="70631AA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(三)加强城市空间资源整合利用</w:t>
      </w:r>
    </w:p>
    <w:p w14:paraId="21C97612">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1．盘活可用资源。</w:t>
      </w:r>
      <w:r>
        <w:rPr>
          <w:rFonts w:hint="default" w:ascii="Times New Roman" w:hAnsi="Times New Roman" w:eastAsia="方正仿宋_GBK" w:cs="Times New Roman"/>
          <w:snapToGrid/>
          <w:kern w:val="2"/>
          <w:sz w:val="32"/>
          <w:szCs w:val="32"/>
          <w:lang w:val="en-US" w:eastAsia="zh-CN" w:bidi="ar-SA"/>
        </w:rPr>
        <w:t>利用城市空闲地、边角地、公园绿地、高架桥下、广场、老旧厂房等空间资源，以及可复合利用的人防、文化、娱乐、养老、教育、商业、社区用房等设施资源，因地制宜、一处一策,建设一批“口袋体育公园”、“百姓健身房”等健身设施，并与城市园林绿化有机衔接、嵌入配套。</w:t>
      </w:r>
    </w:p>
    <w:p w14:paraId="3A033EDC">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2．推动学校体育场地开放。</w:t>
      </w:r>
      <w:r>
        <w:rPr>
          <w:rFonts w:hint="default" w:ascii="Times New Roman" w:hAnsi="Times New Roman" w:eastAsia="方正仿宋_GBK" w:cs="Times New Roman"/>
          <w:snapToGrid/>
          <w:kern w:val="2"/>
          <w:sz w:val="32"/>
          <w:szCs w:val="32"/>
          <w:lang w:val="en-US" w:eastAsia="zh-CN" w:bidi="ar-SA"/>
        </w:rPr>
        <w:t>实施学校体育设施安全隔离改造工程，鼓励有条件的学校推行“一场两门、早晚两开”。新建学校的体育场地设施，严格按开放条件设计、建设。在确保安全的前提下，鼓励以购买服务方式，吸引社会力量运营管理学校体育场地设施。</w:t>
      </w:r>
    </w:p>
    <w:p w14:paraId="4AD456E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(四）提升群众健身普及水平</w:t>
      </w:r>
    </w:p>
    <w:p w14:paraId="4E224ADA">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1．强化健身培训。</w:t>
      </w:r>
      <w:r>
        <w:rPr>
          <w:rFonts w:hint="default" w:ascii="Times New Roman" w:hAnsi="Times New Roman" w:eastAsia="方正仿宋_GBK" w:cs="Times New Roman"/>
          <w:snapToGrid/>
          <w:kern w:val="2"/>
          <w:sz w:val="32"/>
          <w:szCs w:val="32"/>
          <w:lang w:val="en-US" w:eastAsia="zh-CN" w:bidi="ar-SA"/>
        </w:rPr>
        <w:t>加强对各级各类体育社会组织的引导和管理，将运动项目的推广普及作为主要评价指标。推动体育协会通过线上线下相结合方式，常态化组织开展乒乓球、羽毛球、篮球、足球、游泳、健身气功、太极拳、冰雪和类冰雪等群众喜爱的体育项目培训，教会群众1—2项运动技能,每年培训不少于3万人次。</w:t>
      </w:r>
    </w:p>
    <w:p w14:paraId="0F7BBEAC">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2．丰富赛事活动。</w:t>
      </w:r>
      <w:r>
        <w:rPr>
          <w:rFonts w:hint="default" w:ascii="Times New Roman" w:hAnsi="Times New Roman" w:eastAsia="方正仿宋_GBK" w:cs="Times New Roman"/>
          <w:snapToGrid/>
          <w:kern w:val="2"/>
          <w:sz w:val="32"/>
          <w:szCs w:val="32"/>
          <w:lang w:val="en-US" w:eastAsia="zh-CN" w:bidi="ar-SA"/>
        </w:rPr>
        <w:t>打造全民健身“一区多品”、“一乡一品”特色品牌，扩大经常参加体育锻炼人数比例，鼓励群众周末和晚上健身。常态化举办各类赛事活动，办好各级全民健身运动会、社区运动会、职工运动会和区、乡（街道）、村（社区）三级联赛，每年参加赛事活动人数不少于2万人次。</w:t>
      </w:r>
    </w:p>
    <w:p w14:paraId="7B27E1B3">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3．加强宣传推广。</w:t>
      </w:r>
      <w:r>
        <w:rPr>
          <w:rFonts w:hint="default" w:ascii="Times New Roman" w:hAnsi="Times New Roman" w:eastAsia="方正仿宋_GBK" w:cs="Times New Roman"/>
          <w:snapToGrid/>
          <w:kern w:val="2"/>
          <w:sz w:val="32"/>
          <w:szCs w:val="32"/>
          <w:lang w:val="en-US" w:eastAsia="zh-CN" w:bidi="ar-SA"/>
        </w:rPr>
        <w:t>多层次、多渠道宣传快乐健身行动成果，充分利用电视、广播、微信、抖音等融媒体平台，采用图文、动漫、短视频等多种形式，开设全民健身节目、栏目，全方位展示群众健身风采，讲好群众健身故事，增强群众健身意识，营造群众健身氛围。</w:t>
      </w:r>
    </w:p>
    <w:p w14:paraId="50AF334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三、支持政策</w:t>
      </w:r>
    </w:p>
    <w:p w14:paraId="1EA08BD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(一）加大投入力度。</w:t>
      </w:r>
      <w:r>
        <w:rPr>
          <w:rFonts w:hint="default" w:ascii="Times New Roman" w:hAnsi="Times New Roman" w:eastAsia="方正仿宋_GBK" w:cs="Times New Roman"/>
          <w:snapToGrid/>
          <w:kern w:val="2"/>
          <w:sz w:val="32"/>
          <w:szCs w:val="32"/>
          <w:lang w:val="en-US" w:eastAsia="zh-CN" w:bidi="ar-SA"/>
        </w:rPr>
        <w:t>积极争取中央、及省预算内投资，综合运用中央和省对地方转移支付资金和自有财力，完善财政支持政策，争取提高体育彩票公益金投入比例。将有关资金需求纳入区政府年度财政预算。</w:t>
      </w:r>
    </w:p>
    <w:p w14:paraId="0A2D6A4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(二）加强场地供给。</w:t>
      </w:r>
      <w:r>
        <w:rPr>
          <w:rFonts w:hint="default" w:ascii="Times New Roman" w:hAnsi="Times New Roman" w:eastAsia="方正仿宋_GBK" w:cs="Times New Roman"/>
          <w:snapToGrid/>
          <w:kern w:val="2"/>
          <w:sz w:val="32"/>
          <w:szCs w:val="32"/>
          <w:lang w:val="en-US" w:eastAsia="zh-CN" w:bidi="ar-SA"/>
        </w:rPr>
        <w:t>将全民健身设施建设用地纳入我区年度供地计划。制定可用于建设健身设施的非体育用地、非体育建筑目录或指引并向社会公布。在符合国土空间总体规划的前提下，鼓励以租赁方式向社会力量提供用于健身设施建设的土地，租期不超过20年。</w:t>
      </w:r>
    </w:p>
    <w:p w14:paraId="32B5D25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baseline"/>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(三）制定优惠政策。</w:t>
      </w:r>
      <w:r>
        <w:rPr>
          <w:rFonts w:hint="default" w:ascii="Times New Roman" w:hAnsi="Times New Roman" w:eastAsia="方正仿宋_GBK" w:cs="Times New Roman"/>
          <w:snapToGrid/>
          <w:kern w:val="2"/>
          <w:sz w:val="32"/>
          <w:szCs w:val="32"/>
          <w:lang w:val="en-US" w:eastAsia="zh-CN" w:bidi="ar-SA"/>
        </w:rPr>
        <w:t>制定鼓励和吸引社会力量投资建设与运营体育场地设施的意见，依法依规在房租、水电气等方面给予减免或补贴，并落实有关税收优惠政策。落实政府购买全民健身公共服务办法及其实施细则。制定学校体育场地开放补偿办法、公益性社会体育指导员奖励政策。</w:t>
      </w:r>
    </w:p>
    <w:p w14:paraId="54EE0D2D">
      <w:pPr>
        <w:widowControl w:val="0"/>
        <w:kinsoku/>
        <w:autoSpaceDE/>
        <w:autoSpaceDN/>
        <w:adjustRightInd/>
        <w:snapToGrid/>
        <w:spacing w:line="240" w:lineRule="auto"/>
        <w:jc w:val="both"/>
        <w:textAlignment w:val="auto"/>
        <w:rPr>
          <w:rFonts w:hint="default" w:ascii="Times New Roman" w:hAnsi="Times New Roman" w:cs="Times New Roman" w:eastAsiaTheme="minorEastAsia"/>
          <w:snapToGrid/>
          <w:kern w:val="2"/>
          <w:szCs w:val="24"/>
          <w:lang w:val="en-US" w:eastAsia="zh-CN" w:bidi="ar-SA"/>
        </w:rPr>
      </w:pPr>
    </w:p>
    <w:p w14:paraId="4D8087FE">
      <w:pPr>
        <w:widowControl w:val="0"/>
        <w:ind w:left="111" w:firstLine="631"/>
        <w:jc w:val="both"/>
        <w:rPr>
          <w:rFonts w:hint="default" w:ascii="Times New Roman" w:hAnsi="Times New Roman" w:cs="Times New Roman" w:eastAsiaTheme="minorEastAsia"/>
          <w:kern w:val="2"/>
          <w:sz w:val="21"/>
          <w:szCs w:val="20"/>
          <w:lang w:val="en-US" w:eastAsia="zh-CN" w:bidi="ar-SA"/>
        </w:rPr>
      </w:pPr>
    </w:p>
    <w:p w14:paraId="39AEE0BB">
      <w:pPr>
        <w:widowControl w:val="0"/>
        <w:kinsoku/>
        <w:autoSpaceDE/>
        <w:autoSpaceDN/>
        <w:adjustRightInd/>
        <w:snapToGrid/>
        <w:spacing w:line="560" w:lineRule="exact"/>
        <w:jc w:val="center"/>
        <w:textAlignment w:val="auto"/>
        <w:rPr>
          <w:rFonts w:hint="default" w:ascii="Times New Roman" w:hAnsi="Times New Roman" w:eastAsia="方正小标宋_GBK" w:cs="Times New Roman"/>
          <w:snapToGrid/>
          <w:kern w:val="2"/>
          <w:sz w:val="44"/>
          <w:szCs w:val="44"/>
          <w:lang w:val="en-US" w:eastAsia="zh-CN" w:bidi="ar-SA"/>
        </w:rPr>
      </w:pPr>
    </w:p>
    <w:p w14:paraId="504D36E7">
      <w:pPr>
        <w:widowControl w:val="0"/>
        <w:kinsoku/>
        <w:autoSpaceDE/>
        <w:autoSpaceDN/>
        <w:adjustRightInd/>
        <w:snapToGrid/>
        <w:spacing w:line="560" w:lineRule="exac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重点工作任务分工</w:t>
      </w:r>
    </w:p>
    <w:p w14:paraId="0CF5B8DA">
      <w:pPr>
        <w:widowControl w:val="0"/>
        <w:ind w:left="111" w:firstLine="631"/>
        <w:jc w:val="both"/>
        <w:rPr>
          <w:rFonts w:hint="default" w:ascii="Times New Roman" w:hAnsi="Times New Roman" w:cs="Times New Roman" w:eastAsiaTheme="minorEastAsia"/>
          <w:kern w:val="2"/>
          <w:sz w:val="21"/>
          <w:szCs w:val="20"/>
          <w:lang w:val="en-US" w:eastAsia="zh-CN" w:bidi="ar-SA"/>
        </w:rPr>
      </w:pPr>
    </w:p>
    <w:tbl>
      <w:tblPr>
        <w:tblStyle w:val="10"/>
        <w:tblW w:w="8860" w:type="dxa"/>
        <w:tblInd w:w="9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0"/>
        <w:gridCol w:w="4650"/>
        <w:gridCol w:w="1183"/>
        <w:gridCol w:w="2327"/>
      </w:tblGrid>
      <w:tr w14:paraId="6E25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700" w:type="dxa"/>
            <w:noWrap w:val="0"/>
            <w:vAlign w:val="center"/>
          </w:tcPr>
          <w:p w14:paraId="2498352F">
            <w:pPr>
              <w:widowControl w:val="0"/>
              <w:kinsoku/>
              <w:autoSpaceDE/>
              <w:autoSpaceDN/>
              <w:adjustRightInd/>
              <w:snapToGrid/>
              <w:spacing w:line="56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序号</w:t>
            </w:r>
          </w:p>
        </w:tc>
        <w:tc>
          <w:tcPr>
            <w:tcW w:w="4650" w:type="dxa"/>
            <w:noWrap w:val="0"/>
            <w:vAlign w:val="center"/>
          </w:tcPr>
          <w:p w14:paraId="05A43D0F">
            <w:pPr>
              <w:widowControl w:val="0"/>
              <w:kinsoku/>
              <w:autoSpaceDE/>
              <w:autoSpaceDN/>
              <w:adjustRightInd/>
              <w:snapToGrid/>
              <w:spacing w:line="56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重点任务</w:t>
            </w:r>
          </w:p>
        </w:tc>
        <w:tc>
          <w:tcPr>
            <w:tcW w:w="1183" w:type="dxa"/>
            <w:noWrap w:val="0"/>
            <w:vAlign w:val="center"/>
          </w:tcPr>
          <w:p w14:paraId="64794FA1">
            <w:pPr>
              <w:widowControl w:val="0"/>
              <w:kinsoku/>
              <w:autoSpaceDE/>
              <w:autoSpaceDN/>
              <w:adjustRightInd/>
              <w:snapToGrid/>
              <w:spacing w:line="56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时限要求</w:t>
            </w:r>
          </w:p>
        </w:tc>
        <w:tc>
          <w:tcPr>
            <w:tcW w:w="2327" w:type="dxa"/>
            <w:noWrap w:val="0"/>
            <w:vAlign w:val="center"/>
          </w:tcPr>
          <w:p w14:paraId="4DE8B422">
            <w:pPr>
              <w:widowControl w:val="0"/>
              <w:kinsoku/>
              <w:autoSpaceDE/>
              <w:autoSpaceDN/>
              <w:adjustRightInd/>
              <w:snapToGrid/>
              <w:spacing w:line="56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责任单位</w:t>
            </w:r>
          </w:p>
        </w:tc>
      </w:tr>
      <w:tr w14:paraId="208C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0" w:hRule="atLeast"/>
        </w:trPr>
        <w:tc>
          <w:tcPr>
            <w:tcW w:w="700" w:type="dxa"/>
            <w:noWrap w:val="0"/>
            <w:vAlign w:val="center"/>
          </w:tcPr>
          <w:p w14:paraId="0D8D3EA9">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w:t>
            </w:r>
          </w:p>
        </w:tc>
        <w:tc>
          <w:tcPr>
            <w:tcW w:w="4650" w:type="dxa"/>
            <w:noWrap w:val="0"/>
            <w:vAlign w:val="center"/>
          </w:tcPr>
          <w:p w14:paraId="5080BFEE">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根据常住人口总量、结构、流动趋势，以居民需求为导向，配置全民健身公共服务资源。制定龙子湖区居民住宅区健身设施建设与管理指导意见，制定配建“菜单”。</w:t>
            </w:r>
          </w:p>
        </w:tc>
        <w:tc>
          <w:tcPr>
            <w:tcW w:w="1183" w:type="dxa"/>
            <w:noWrap w:val="0"/>
            <w:vAlign w:val="center"/>
          </w:tcPr>
          <w:p w14:paraId="1A96EA80">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2022年9月底。</w:t>
            </w:r>
          </w:p>
        </w:tc>
        <w:tc>
          <w:tcPr>
            <w:tcW w:w="2327" w:type="dxa"/>
            <w:noWrap w:val="0"/>
            <w:vAlign w:val="center"/>
          </w:tcPr>
          <w:p w14:paraId="597B8D8D">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区教体局牵头，区</w:t>
            </w:r>
            <w:r>
              <w:rPr>
                <w:rFonts w:hint="eastAsia" w:ascii="Times New Roman" w:hAnsi="Times New Roman" w:eastAsia="方正仿宋_GBK" w:cs="Times New Roman"/>
                <w:snapToGrid/>
                <w:kern w:val="2"/>
                <w:sz w:val="24"/>
                <w:szCs w:val="24"/>
                <w:lang w:val="en-US" w:eastAsia="zh-CN" w:bidi="ar-SA"/>
              </w:rPr>
              <w:t>自然资源和规划局</w:t>
            </w:r>
            <w:r>
              <w:rPr>
                <w:rFonts w:hint="default" w:ascii="Times New Roman" w:hAnsi="Times New Roman" w:eastAsia="方正仿宋_GBK" w:cs="Times New Roman"/>
                <w:snapToGrid/>
                <w:kern w:val="2"/>
                <w:sz w:val="24"/>
                <w:szCs w:val="24"/>
                <w:lang w:val="en-US" w:eastAsia="zh-CN" w:bidi="ar-SA"/>
              </w:rPr>
              <w:t>、区住建局和各乡镇、街道按职责</w:t>
            </w:r>
            <w:bookmarkStart w:id="0" w:name="_GoBack"/>
            <w:bookmarkEnd w:id="0"/>
            <w:r>
              <w:rPr>
                <w:rFonts w:hint="default" w:ascii="Times New Roman" w:hAnsi="Times New Roman" w:eastAsia="方正仿宋_GBK" w:cs="Times New Roman"/>
                <w:snapToGrid/>
                <w:kern w:val="2"/>
                <w:sz w:val="24"/>
                <w:szCs w:val="24"/>
                <w:lang w:val="en-US" w:eastAsia="zh-CN" w:bidi="ar-SA"/>
              </w:rPr>
              <w:t>分工负责。</w:t>
            </w:r>
          </w:p>
        </w:tc>
      </w:tr>
      <w:tr w14:paraId="2F0D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00" w:type="dxa"/>
            <w:noWrap w:val="0"/>
            <w:vAlign w:val="center"/>
          </w:tcPr>
          <w:p w14:paraId="597EC1F2">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w:t>
            </w:r>
          </w:p>
        </w:tc>
        <w:tc>
          <w:tcPr>
            <w:tcW w:w="4650" w:type="dxa"/>
            <w:noWrap w:val="0"/>
            <w:vAlign w:val="center"/>
          </w:tcPr>
          <w:p w14:paraId="15DC016E">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对已建小区，坚持“应修尽修、应改尽改、应建尽建”，全面维修、升级、补建，因地制宜、见缝插针、科学布点。</w:t>
            </w:r>
          </w:p>
        </w:tc>
        <w:tc>
          <w:tcPr>
            <w:tcW w:w="1183" w:type="dxa"/>
            <w:noWrap w:val="0"/>
            <w:vAlign w:val="center"/>
          </w:tcPr>
          <w:p w14:paraId="474D1777">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2023年基本实现全覆盖，2025年实现全覆盖。</w:t>
            </w:r>
          </w:p>
        </w:tc>
        <w:tc>
          <w:tcPr>
            <w:tcW w:w="2327" w:type="dxa"/>
            <w:noWrap w:val="0"/>
            <w:vAlign w:val="center"/>
          </w:tcPr>
          <w:p w14:paraId="3FD291B2">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区住建局牵头，区财政局和区教体局按职责分工负责。</w:t>
            </w:r>
          </w:p>
        </w:tc>
      </w:tr>
      <w:tr w14:paraId="5657E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00" w:type="dxa"/>
            <w:noWrap w:val="0"/>
            <w:vAlign w:val="center"/>
          </w:tcPr>
          <w:p w14:paraId="539C6DB0">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3</w:t>
            </w:r>
          </w:p>
        </w:tc>
        <w:tc>
          <w:tcPr>
            <w:tcW w:w="4650" w:type="dxa"/>
            <w:noWrap w:val="0"/>
            <w:vAlign w:val="center"/>
          </w:tcPr>
          <w:p w14:paraId="4400BA1F">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对新建小区，按室内人均建筑面积不低于0.1平方米或室外人均用地不低于0.3平方米的标准配建全民健身设施，纳入施工图纸审查，验收未达标的不得交付使用。</w:t>
            </w:r>
          </w:p>
        </w:tc>
        <w:tc>
          <w:tcPr>
            <w:tcW w:w="1183" w:type="dxa"/>
            <w:noWrap w:val="0"/>
            <w:vAlign w:val="center"/>
          </w:tcPr>
          <w:p w14:paraId="3A212E97">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15910480">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区住建局牵头，区</w:t>
            </w:r>
            <w:r>
              <w:rPr>
                <w:rFonts w:hint="eastAsia" w:ascii="Times New Roman" w:hAnsi="Times New Roman" w:eastAsia="方正仿宋_GBK" w:cs="Times New Roman"/>
                <w:snapToGrid/>
                <w:kern w:val="2"/>
                <w:sz w:val="24"/>
                <w:szCs w:val="24"/>
                <w:lang w:val="en-US" w:eastAsia="zh-CN" w:bidi="ar-SA"/>
              </w:rPr>
              <w:t>自然资源和规划局</w:t>
            </w:r>
            <w:r>
              <w:rPr>
                <w:rFonts w:hint="default" w:ascii="Times New Roman" w:hAnsi="Times New Roman" w:eastAsia="方正仿宋_GBK" w:cs="Times New Roman"/>
                <w:snapToGrid/>
                <w:kern w:val="2"/>
                <w:sz w:val="24"/>
                <w:szCs w:val="24"/>
                <w:lang w:val="en-US" w:eastAsia="zh-CN" w:bidi="ar-SA"/>
              </w:rPr>
              <w:t>、区教体局按职责分工负责。</w:t>
            </w:r>
          </w:p>
        </w:tc>
      </w:tr>
      <w:tr w14:paraId="7EAFD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00" w:type="dxa"/>
            <w:noWrap w:val="0"/>
            <w:vAlign w:val="center"/>
          </w:tcPr>
          <w:p w14:paraId="5AA63570">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4</w:t>
            </w:r>
          </w:p>
        </w:tc>
        <w:tc>
          <w:tcPr>
            <w:tcW w:w="4650" w:type="dxa"/>
            <w:noWrap w:val="0"/>
            <w:vAlign w:val="center"/>
          </w:tcPr>
          <w:p w14:paraId="0B589B0D">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对行政村健身设施，根据区域特点、乡土特色和居民需求，全面改造升级，提高针对性和实效性。</w:t>
            </w:r>
          </w:p>
        </w:tc>
        <w:tc>
          <w:tcPr>
            <w:tcW w:w="1183" w:type="dxa"/>
            <w:noWrap w:val="0"/>
            <w:vAlign w:val="center"/>
          </w:tcPr>
          <w:p w14:paraId="54C3F91E">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37C6E9BC">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区教体局牵头，区文旅局、区农业农村局和各乡镇政府按职责分工负责。</w:t>
            </w:r>
          </w:p>
        </w:tc>
      </w:tr>
      <w:tr w14:paraId="18C9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trPr>
        <w:tc>
          <w:tcPr>
            <w:tcW w:w="700" w:type="dxa"/>
            <w:noWrap w:val="0"/>
            <w:vAlign w:val="center"/>
          </w:tcPr>
          <w:p w14:paraId="21ACCB68">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5</w:t>
            </w:r>
          </w:p>
        </w:tc>
        <w:tc>
          <w:tcPr>
            <w:tcW w:w="4650" w:type="dxa"/>
            <w:noWrap w:val="0"/>
            <w:vAlign w:val="center"/>
          </w:tcPr>
          <w:p w14:paraId="06A14E16">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把全民健身公共服务纳入社区和乡村服务体系，乡镇（街道）负责健身设施日常维护、保养和管理，提供必要的人员和经费，保障健身设施安全使用。</w:t>
            </w:r>
          </w:p>
        </w:tc>
        <w:tc>
          <w:tcPr>
            <w:tcW w:w="1183" w:type="dxa"/>
            <w:noWrap w:val="0"/>
            <w:vAlign w:val="center"/>
          </w:tcPr>
          <w:p w14:paraId="3770D49E">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7F2201A3">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区财政局牵头，乡镇、街道按职责分工负责。</w:t>
            </w:r>
          </w:p>
        </w:tc>
      </w:tr>
      <w:tr w14:paraId="3024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trPr>
        <w:tc>
          <w:tcPr>
            <w:tcW w:w="700" w:type="dxa"/>
            <w:noWrap w:val="0"/>
            <w:vAlign w:val="center"/>
          </w:tcPr>
          <w:p w14:paraId="23ED85D2">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6</w:t>
            </w:r>
          </w:p>
        </w:tc>
        <w:tc>
          <w:tcPr>
            <w:tcW w:w="4650" w:type="dxa"/>
            <w:noWrap w:val="0"/>
            <w:vAlign w:val="center"/>
          </w:tcPr>
          <w:p w14:paraId="27D66BEC">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将城市健身步道纳入国土空间规划。</w:t>
            </w:r>
          </w:p>
        </w:tc>
        <w:tc>
          <w:tcPr>
            <w:tcW w:w="1183" w:type="dxa"/>
            <w:noWrap w:val="0"/>
            <w:vAlign w:val="center"/>
          </w:tcPr>
          <w:p w14:paraId="12BD13D5">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1E7A30CC">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w:t>
            </w:r>
            <w:r>
              <w:rPr>
                <w:rFonts w:hint="eastAsia" w:ascii="Times New Roman" w:hAnsi="Times New Roman" w:eastAsia="方正仿宋_GBK" w:cs="Times New Roman"/>
                <w:snapToGrid/>
                <w:kern w:val="2"/>
                <w:sz w:val="24"/>
                <w:szCs w:val="24"/>
                <w:lang w:val="en-US" w:eastAsia="zh-CN" w:bidi="ar-SA"/>
              </w:rPr>
              <w:t>自然资源和规划局</w:t>
            </w:r>
            <w:r>
              <w:rPr>
                <w:rFonts w:hint="default" w:ascii="Times New Roman" w:hAnsi="Times New Roman" w:eastAsia="方正仿宋_GBK" w:cs="Times New Roman"/>
                <w:snapToGrid/>
                <w:kern w:val="2"/>
                <w:sz w:val="24"/>
                <w:szCs w:val="24"/>
                <w:lang w:val="en-US" w:eastAsia="zh-CN" w:bidi="ar-SA"/>
              </w:rPr>
              <w:t>牵头，区教体局、各乡镇、街道按职责分工负责。</w:t>
            </w:r>
          </w:p>
        </w:tc>
      </w:tr>
      <w:tr w14:paraId="3988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700" w:type="dxa"/>
            <w:noWrap w:val="0"/>
            <w:vAlign w:val="center"/>
          </w:tcPr>
          <w:p w14:paraId="416A18CE">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7</w:t>
            </w:r>
          </w:p>
        </w:tc>
        <w:tc>
          <w:tcPr>
            <w:tcW w:w="4650" w:type="dxa"/>
            <w:noWrap w:val="0"/>
            <w:vAlign w:val="center"/>
          </w:tcPr>
          <w:p w14:paraId="6789D29D">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bCs/>
                <w:snapToGrid/>
                <w:kern w:val="2"/>
                <w:sz w:val="24"/>
                <w:szCs w:val="24"/>
                <w:lang w:val="en-US" w:eastAsia="zh-CN" w:bidi="ar-SA"/>
              </w:rPr>
              <w:t>建设沿淮河、龙子湖公园等健身步道，</w:t>
            </w:r>
            <w:r>
              <w:rPr>
                <w:rFonts w:hint="default" w:ascii="Times New Roman" w:hAnsi="Times New Roman" w:eastAsia="方正仿宋_GBK" w:cs="Times New Roman"/>
                <w:snapToGrid/>
                <w:kern w:val="2"/>
                <w:sz w:val="24"/>
                <w:szCs w:val="24"/>
                <w:lang w:val="en-US" w:eastAsia="zh-CN" w:bidi="ar-SA"/>
              </w:rPr>
              <w:t>启动城市健身步道“断头路”畅通工程，打通红绿灯阻隔，推动城市公园步道系统互联互逐步串起城市公共空间、历史文化节点、主要公共服务设施、重要居住片区、重要交通接驳点，连点成线，形成立体化步道网络，打造集交通、文化、旅游等功能为一体的综合健身空间。</w:t>
            </w:r>
          </w:p>
        </w:tc>
        <w:tc>
          <w:tcPr>
            <w:tcW w:w="1183" w:type="dxa"/>
            <w:noWrap w:val="0"/>
            <w:vAlign w:val="center"/>
          </w:tcPr>
          <w:p w14:paraId="67A31A4F">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到2025年底，建成</w:t>
            </w:r>
            <w:r>
              <w:rPr>
                <w:rFonts w:hint="default" w:ascii="Times New Roman" w:hAnsi="Times New Roman" w:eastAsia="方正仿宋_GBK" w:cs="Times New Roman"/>
                <w:snapToGrid/>
                <w:color w:val="000000"/>
                <w:kern w:val="2"/>
                <w:sz w:val="24"/>
                <w:szCs w:val="24"/>
                <w:lang w:val="en-US" w:eastAsia="zh-CN" w:bidi="ar-SA"/>
              </w:rPr>
              <w:t>20</w:t>
            </w:r>
            <w:r>
              <w:rPr>
                <w:rFonts w:hint="default" w:ascii="Times New Roman" w:hAnsi="Times New Roman" w:eastAsia="方正仿宋_GBK" w:cs="Times New Roman"/>
                <w:snapToGrid/>
                <w:kern w:val="2"/>
                <w:sz w:val="24"/>
                <w:szCs w:val="24"/>
                <w:lang w:val="en-US" w:eastAsia="zh-CN" w:bidi="ar-SA"/>
              </w:rPr>
              <w:t>公里。</w:t>
            </w:r>
          </w:p>
        </w:tc>
        <w:tc>
          <w:tcPr>
            <w:tcW w:w="2327" w:type="dxa"/>
            <w:noWrap w:val="0"/>
            <w:vAlign w:val="center"/>
          </w:tcPr>
          <w:p w14:paraId="5D8FF504">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w:t>
            </w:r>
            <w:r>
              <w:rPr>
                <w:rFonts w:hint="eastAsia" w:ascii="Times New Roman" w:hAnsi="Times New Roman" w:eastAsia="方正仿宋_GBK" w:cs="Times New Roman"/>
                <w:snapToGrid/>
                <w:kern w:val="2"/>
                <w:sz w:val="24"/>
                <w:szCs w:val="24"/>
                <w:lang w:val="en-US" w:eastAsia="zh-CN" w:bidi="ar-SA"/>
              </w:rPr>
              <w:t>自然资源和规划局</w:t>
            </w:r>
            <w:r>
              <w:rPr>
                <w:rFonts w:hint="default" w:ascii="Times New Roman" w:hAnsi="Times New Roman" w:eastAsia="方正仿宋_GBK" w:cs="Times New Roman"/>
                <w:snapToGrid/>
                <w:kern w:val="2"/>
                <w:sz w:val="24"/>
                <w:szCs w:val="24"/>
                <w:lang w:val="en-US" w:eastAsia="zh-CN" w:bidi="ar-SA"/>
              </w:rPr>
              <w:t>牵头，区教体局、区文旅局、各街道、乡镇按职责分工负责。</w:t>
            </w:r>
          </w:p>
        </w:tc>
      </w:tr>
      <w:tr w14:paraId="1CCC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700" w:type="dxa"/>
            <w:noWrap w:val="0"/>
            <w:vAlign w:val="center"/>
          </w:tcPr>
          <w:p w14:paraId="7E34501E">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8</w:t>
            </w:r>
          </w:p>
        </w:tc>
        <w:tc>
          <w:tcPr>
            <w:tcW w:w="4650" w:type="dxa"/>
            <w:noWrap w:val="0"/>
            <w:vAlign w:val="center"/>
          </w:tcPr>
          <w:p w14:paraId="0DE883CE">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 xml:space="preserve">利用城市空闲地、边角地、公园绿地、高架桥下、广场、老旧厂房等空间资源，以及可复合利用的人防、文化、娱乐、养老、教育、商业、社区用房等设施资源，因地制宜、一处一策，建设一批“口袋体育公园”“百姓健身房”等健身设施，并与城市园林绿化有机衔接、嵌入配套。   </w:t>
            </w:r>
          </w:p>
        </w:tc>
        <w:tc>
          <w:tcPr>
            <w:tcW w:w="1183" w:type="dxa"/>
            <w:noWrap w:val="0"/>
            <w:vAlign w:val="center"/>
          </w:tcPr>
          <w:p w14:paraId="6C42D077">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2025年底。</w:t>
            </w:r>
          </w:p>
        </w:tc>
        <w:tc>
          <w:tcPr>
            <w:tcW w:w="2327" w:type="dxa"/>
            <w:noWrap w:val="0"/>
            <w:vAlign w:val="center"/>
          </w:tcPr>
          <w:p w14:paraId="480F5772">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区教体局牵头，区</w:t>
            </w:r>
            <w:r>
              <w:rPr>
                <w:rFonts w:hint="eastAsia" w:ascii="Times New Roman" w:hAnsi="Times New Roman" w:eastAsia="方正仿宋_GBK" w:cs="Times New Roman"/>
                <w:snapToGrid/>
                <w:kern w:val="2"/>
                <w:sz w:val="24"/>
                <w:szCs w:val="24"/>
                <w:lang w:val="en-US" w:eastAsia="zh-CN" w:bidi="ar-SA"/>
              </w:rPr>
              <w:t>自然资源和规划局</w:t>
            </w:r>
            <w:r>
              <w:rPr>
                <w:rFonts w:hint="default" w:ascii="Times New Roman" w:hAnsi="Times New Roman" w:eastAsia="方正仿宋_GBK" w:cs="Times New Roman"/>
                <w:snapToGrid/>
                <w:kern w:val="2"/>
                <w:sz w:val="24"/>
                <w:szCs w:val="24"/>
                <w:lang w:val="en-US" w:eastAsia="zh-CN" w:bidi="ar-SA"/>
              </w:rPr>
              <w:t>、区住建局、区经信局、区人防办、区文旅局、区民政局、区商务外事局、各街道、乡镇按职责分工负责。</w:t>
            </w:r>
          </w:p>
        </w:tc>
      </w:tr>
      <w:tr w14:paraId="35142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700" w:type="dxa"/>
            <w:noWrap w:val="0"/>
            <w:vAlign w:val="center"/>
          </w:tcPr>
          <w:p w14:paraId="082C434C">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9</w:t>
            </w:r>
          </w:p>
        </w:tc>
        <w:tc>
          <w:tcPr>
            <w:tcW w:w="4650" w:type="dxa"/>
            <w:noWrap w:val="0"/>
            <w:vAlign w:val="center"/>
          </w:tcPr>
          <w:p w14:paraId="267B4BBE">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推动学校体育设施安全隔离改造工程，鼓励有条件的学校推行“一场两门、早晚两开”。新建学校的体育场地设施按开放条件设计、建设。在确保安全的前提下，鼓励以购买服务方式，吸引社会力量运营管理学校体育场地设施。</w:t>
            </w:r>
          </w:p>
        </w:tc>
        <w:tc>
          <w:tcPr>
            <w:tcW w:w="1183" w:type="dxa"/>
            <w:noWrap w:val="0"/>
            <w:vAlign w:val="center"/>
          </w:tcPr>
          <w:p w14:paraId="033AA08E">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4CD10DFD">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区教体局牵头，区财政局和区住建局按职责分工负责。</w:t>
            </w:r>
          </w:p>
        </w:tc>
      </w:tr>
      <w:tr w14:paraId="75026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700" w:type="dxa"/>
            <w:noWrap w:val="0"/>
            <w:vAlign w:val="center"/>
          </w:tcPr>
          <w:p w14:paraId="5DAFCD99">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10</w:t>
            </w:r>
          </w:p>
        </w:tc>
        <w:tc>
          <w:tcPr>
            <w:tcW w:w="4650" w:type="dxa"/>
            <w:noWrap w:val="0"/>
            <w:vAlign w:val="center"/>
          </w:tcPr>
          <w:p w14:paraId="41404C88">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加强对体育社会组织的政策引导和监督管理。将运动项目的推广普及作为主要评价指标。推动体育协会通过线上线下相结合的方式，常态化组织开展足球、篮球、乒乓球、羽毛球、太极拳、健身气功、广场健身舞等群众喜爱的体育项目培训，教会群众</w:t>
            </w:r>
            <w:r>
              <w:rPr>
                <w:rFonts w:hint="default" w:ascii="Times New Roman" w:hAnsi="Times New Roman" w:eastAsia="方正仿宋_GBK" w:cs="Times New Roman"/>
                <w:snapToGrid/>
                <w:color w:val="000000"/>
                <w:kern w:val="2"/>
                <w:sz w:val="24"/>
                <w:szCs w:val="24"/>
                <w:lang w:val="en-US" w:eastAsia="zh-CN" w:bidi="ar-SA"/>
              </w:rPr>
              <w:t>1-2项运动技能，每年培训不少于3</w:t>
            </w:r>
            <w:r>
              <w:rPr>
                <w:rFonts w:hint="default" w:ascii="Times New Roman" w:hAnsi="Times New Roman" w:eastAsia="方正仿宋_GBK" w:cs="Times New Roman"/>
                <w:snapToGrid/>
                <w:kern w:val="2"/>
                <w:sz w:val="24"/>
                <w:szCs w:val="24"/>
                <w:lang w:val="en-US" w:eastAsia="zh-CN" w:bidi="ar-SA"/>
              </w:rPr>
              <w:t>万人次。</w:t>
            </w:r>
          </w:p>
        </w:tc>
        <w:tc>
          <w:tcPr>
            <w:tcW w:w="1183" w:type="dxa"/>
            <w:noWrap w:val="0"/>
            <w:vAlign w:val="center"/>
          </w:tcPr>
          <w:p w14:paraId="60AFA63E">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519B1AFE">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区教体局牵头，区民政局和各乡镇、街道按职责分工负责。</w:t>
            </w:r>
          </w:p>
        </w:tc>
      </w:tr>
      <w:tr w14:paraId="3926D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700" w:type="dxa"/>
            <w:noWrap w:val="0"/>
            <w:vAlign w:val="center"/>
          </w:tcPr>
          <w:p w14:paraId="7AC3487A">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11</w:t>
            </w:r>
          </w:p>
        </w:tc>
        <w:tc>
          <w:tcPr>
            <w:tcW w:w="4650" w:type="dxa"/>
            <w:noWrap w:val="0"/>
            <w:vAlign w:val="center"/>
          </w:tcPr>
          <w:p w14:paraId="7F0AB01E">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扩大经常参加体育锻炼人数比例，鼓励群众周末和晚上健身。常态化举办各类赛事活动，办好各级全民健身运动会、社区运动会、职工运动会和区、乡（街道）、行政村（社区）三级联赛，每年参加赛事活动人数不少于</w:t>
            </w:r>
            <w:r>
              <w:rPr>
                <w:rFonts w:hint="default" w:ascii="Times New Roman" w:hAnsi="Times New Roman" w:eastAsia="方正仿宋_GBK" w:cs="Times New Roman"/>
                <w:snapToGrid/>
                <w:color w:val="000000"/>
                <w:kern w:val="2"/>
                <w:sz w:val="24"/>
                <w:szCs w:val="24"/>
                <w:lang w:val="en-US" w:eastAsia="zh-CN" w:bidi="ar-SA"/>
              </w:rPr>
              <w:t>2</w:t>
            </w:r>
            <w:r>
              <w:rPr>
                <w:rFonts w:hint="default" w:ascii="Times New Roman" w:hAnsi="Times New Roman" w:eastAsia="方正仿宋_GBK" w:cs="Times New Roman"/>
                <w:snapToGrid/>
                <w:kern w:val="2"/>
                <w:sz w:val="24"/>
                <w:szCs w:val="24"/>
                <w:lang w:val="en-US" w:eastAsia="zh-CN" w:bidi="ar-SA"/>
              </w:rPr>
              <w:t>万人次。</w:t>
            </w:r>
          </w:p>
        </w:tc>
        <w:tc>
          <w:tcPr>
            <w:tcW w:w="1183" w:type="dxa"/>
            <w:noWrap w:val="0"/>
            <w:vAlign w:val="center"/>
          </w:tcPr>
          <w:p w14:paraId="02ACAEFD">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3F7F0E2C">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区教体局牵头，各乡镇、街道按职责分工负责。</w:t>
            </w:r>
          </w:p>
        </w:tc>
      </w:tr>
      <w:tr w14:paraId="5FC75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700" w:type="dxa"/>
            <w:noWrap w:val="0"/>
            <w:vAlign w:val="center"/>
          </w:tcPr>
          <w:p w14:paraId="58EB2BD0">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12</w:t>
            </w:r>
          </w:p>
        </w:tc>
        <w:tc>
          <w:tcPr>
            <w:tcW w:w="4650" w:type="dxa"/>
            <w:noWrap w:val="0"/>
            <w:vAlign w:val="center"/>
          </w:tcPr>
          <w:p w14:paraId="389D1646">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多层次、多渠道宣传快乐健身行动成果，打造爱国主义教育基地。充分利用传统媒体、网络直播、手机APP等各类大众传播平台和现代多媒体传播技术，全方位展示群众健身风采，</w:t>
            </w:r>
            <w:r>
              <w:rPr>
                <w:rFonts w:hint="default" w:ascii="Times New Roman" w:hAnsi="Times New Roman" w:eastAsia="方正仿宋_GBK" w:cs="Times New Roman"/>
                <w:snapToGrid/>
                <w:kern w:val="2"/>
                <w:sz w:val="24"/>
                <w:szCs w:val="24"/>
                <w:lang w:val="zh-TW" w:eastAsia="zh-CN" w:bidi="zh-TW"/>
              </w:rPr>
              <w:t>讲好全民健身“幸福龙子湖”的百姓故事</w:t>
            </w:r>
            <w:r>
              <w:rPr>
                <w:rFonts w:hint="default" w:ascii="Times New Roman" w:hAnsi="Times New Roman" w:eastAsia="方正仿宋_GBK" w:cs="Times New Roman"/>
                <w:snapToGrid/>
                <w:kern w:val="2"/>
                <w:sz w:val="24"/>
                <w:szCs w:val="24"/>
                <w:lang w:val="en-US" w:eastAsia="zh-CN" w:bidi="ar-SA"/>
              </w:rPr>
              <w:t>。打造有影响力的龙子湖全民健身宣传平台</w:t>
            </w:r>
            <w:r>
              <w:rPr>
                <w:rFonts w:hint="default" w:ascii="Times New Roman" w:hAnsi="Times New Roman" w:eastAsia="方正仿宋_GBK" w:cs="Times New Roman"/>
                <w:snapToGrid/>
                <w:kern w:val="2"/>
                <w:sz w:val="24"/>
                <w:szCs w:val="24"/>
                <w:lang w:val="zh-TW" w:eastAsia="zh-CN" w:bidi="zh-TW"/>
              </w:rPr>
              <w:t>。</w:t>
            </w:r>
          </w:p>
        </w:tc>
        <w:tc>
          <w:tcPr>
            <w:tcW w:w="1183" w:type="dxa"/>
            <w:noWrap w:val="0"/>
            <w:vAlign w:val="center"/>
          </w:tcPr>
          <w:p w14:paraId="23D568A2">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45C98A37">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区教体局牵头，区文旅局、区文明办和各乡镇、街道配合。</w:t>
            </w:r>
          </w:p>
        </w:tc>
      </w:tr>
      <w:tr w14:paraId="63B6C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700" w:type="dxa"/>
            <w:noWrap w:val="0"/>
            <w:vAlign w:val="center"/>
          </w:tcPr>
          <w:p w14:paraId="0F717475">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13</w:t>
            </w:r>
          </w:p>
        </w:tc>
        <w:tc>
          <w:tcPr>
            <w:tcW w:w="4650" w:type="dxa"/>
            <w:noWrap w:val="0"/>
            <w:vAlign w:val="center"/>
          </w:tcPr>
          <w:p w14:paraId="3F7E0FBA">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积极争取中央及省级预算内投资。</w:t>
            </w:r>
          </w:p>
        </w:tc>
        <w:tc>
          <w:tcPr>
            <w:tcW w:w="1183" w:type="dxa"/>
            <w:noWrap w:val="0"/>
            <w:vAlign w:val="center"/>
          </w:tcPr>
          <w:p w14:paraId="10B89B1C">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32A9F3F3">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区发展改革委、区财政局分别牵头，区教体局配合。</w:t>
            </w:r>
          </w:p>
        </w:tc>
      </w:tr>
      <w:tr w14:paraId="2D264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4" w:hRule="atLeast"/>
        </w:trPr>
        <w:tc>
          <w:tcPr>
            <w:tcW w:w="700" w:type="dxa"/>
            <w:noWrap w:val="0"/>
            <w:vAlign w:val="center"/>
          </w:tcPr>
          <w:p w14:paraId="33534E12">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14</w:t>
            </w:r>
          </w:p>
        </w:tc>
        <w:tc>
          <w:tcPr>
            <w:tcW w:w="4650" w:type="dxa"/>
            <w:noWrap w:val="0"/>
            <w:vAlign w:val="center"/>
          </w:tcPr>
          <w:p w14:paraId="1AB1E19D">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综合运用中央和省级对地方转移支付资金和自有财力，完善财政支持政策。提高体育彩票公益金投入比例。</w:t>
            </w:r>
          </w:p>
        </w:tc>
        <w:tc>
          <w:tcPr>
            <w:tcW w:w="1183" w:type="dxa"/>
            <w:noWrap w:val="0"/>
            <w:vAlign w:val="center"/>
          </w:tcPr>
          <w:p w14:paraId="24C790C2">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46ABD0F2">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区财政局牵头，区教体局配合。</w:t>
            </w:r>
          </w:p>
        </w:tc>
      </w:tr>
      <w:tr w14:paraId="0C303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0" w:type="dxa"/>
            <w:noWrap w:val="0"/>
            <w:vAlign w:val="center"/>
          </w:tcPr>
          <w:p w14:paraId="54CF6414">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15</w:t>
            </w:r>
          </w:p>
        </w:tc>
        <w:tc>
          <w:tcPr>
            <w:tcW w:w="4650" w:type="dxa"/>
            <w:noWrap w:val="0"/>
            <w:vAlign w:val="center"/>
          </w:tcPr>
          <w:p w14:paraId="69750D14">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将有关资金需求纳入区政府年度财政预算。</w:t>
            </w:r>
          </w:p>
        </w:tc>
        <w:tc>
          <w:tcPr>
            <w:tcW w:w="1183" w:type="dxa"/>
            <w:noWrap w:val="0"/>
            <w:vAlign w:val="center"/>
          </w:tcPr>
          <w:p w14:paraId="454067FC">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65CE7777">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区政府。</w:t>
            </w:r>
          </w:p>
        </w:tc>
      </w:tr>
      <w:tr w14:paraId="5A3DE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0" w:hRule="atLeast"/>
        </w:trPr>
        <w:tc>
          <w:tcPr>
            <w:tcW w:w="700" w:type="dxa"/>
            <w:noWrap w:val="0"/>
            <w:vAlign w:val="center"/>
          </w:tcPr>
          <w:p w14:paraId="5FA37544">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16</w:t>
            </w:r>
          </w:p>
        </w:tc>
        <w:tc>
          <w:tcPr>
            <w:tcW w:w="4650" w:type="dxa"/>
            <w:noWrap w:val="0"/>
            <w:vAlign w:val="center"/>
          </w:tcPr>
          <w:p w14:paraId="076BF682">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将全民健身设施建设用地纳入年度供地计划。制定可用于建设健身设施的非体育用地、非体育建筑目录或指引并向社会公布。在符合国土空间总体规划的前提下，鼓励以租赁方式向社会力量提供用于健身设施建设的土地，租期不超过20年。</w:t>
            </w:r>
          </w:p>
        </w:tc>
        <w:tc>
          <w:tcPr>
            <w:tcW w:w="1183" w:type="dxa"/>
            <w:noWrap w:val="0"/>
            <w:vAlign w:val="center"/>
          </w:tcPr>
          <w:p w14:paraId="1006D65A">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188158D6">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w:t>
            </w:r>
            <w:r>
              <w:rPr>
                <w:rFonts w:hint="eastAsia" w:ascii="Times New Roman" w:hAnsi="Times New Roman" w:eastAsia="方正仿宋_GBK" w:cs="Times New Roman"/>
                <w:snapToGrid/>
                <w:kern w:val="2"/>
                <w:sz w:val="24"/>
                <w:szCs w:val="24"/>
                <w:lang w:val="en-US" w:eastAsia="zh-CN" w:bidi="ar-SA"/>
              </w:rPr>
              <w:t>自然资源和规划局</w:t>
            </w:r>
            <w:r>
              <w:rPr>
                <w:rFonts w:hint="default" w:ascii="Times New Roman" w:hAnsi="Times New Roman" w:eastAsia="方正仿宋_GBK" w:cs="Times New Roman"/>
                <w:snapToGrid/>
                <w:kern w:val="2"/>
                <w:sz w:val="24"/>
                <w:szCs w:val="24"/>
                <w:lang w:val="en-US" w:eastAsia="zh-CN" w:bidi="ar-SA"/>
              </w:rPr>
              <w:t>牵头，区教体局和各乡镇政府按职责分工负责。</w:t>
            </w:r>
          </w:p>
        </w:tc>
      </w:tr>
      <w:tr w14:paraId="51B53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4" w:hRule="atLeast"/>
        </w:trPr>
        <w:tc>
          <w:tcPr>
            <w:tcW w:w="700" w:type="dxa"/>
            <w:noWrap w:val="0"/>
            <w:vAlign w:val="center"/>
          </w:tcPr>
          <w:p w14:paraId="29792A80">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17</w:t>
            </w:r>
          </w:p>
        </w:tc>
        <w:tc>
          <w:tcPr>
            <w:tcW w:w="4650" w:type="dxa"/>
            <w:noWrap w:val="0"/>
            <w:vAlign w:val="center"/>
          </w:tcPr>
          <w:p w14:paraId="5CFBFBD4">
            <w:pPr>
              <w:widowControl w:val="0"/>
              <w:kinsoku/>
              <w:autoSpaceDE/>
              <w:autoSpaceDN/>
              <w:adjustRightInd/>
              <w:snapToGrid/>
              <w:spacing w:line="560" w:lineRule="exact"/>
              <w:jc w:val="both"/>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制定鼓励和吸引社会力量投资建设与运营体育场地设施的意见，依法依规在房租、水电气等方面给予减免或补贴，并落实有关税收优惠政策。落实政府购买全民健身公共服务办法及其实施细则。制定公益性社会体育指导员补助政策。</w:t>
            </w:r>
          </w:p>
        </w:tc>
        <w:tc>
          <w:tcPr>
            <w:tcW w:w="1183" w:type="dxa"/>
            <w:noWrap w:val="0"/>
            <w:vAlign w:val="center"/>
          </w:tcPr>
          <w:p w14:paraId="173FB4E8">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持续推进。</w:t>
            </w:r>
          </w:p>
        </w:tc>
        <w:tc>
          <w:tcPr>
            <w:tcW w:w="2327" w:type="dxa"/>
            <w:noWrap w:val="0"/>
            <w:vAlign w:val="center"/>
          </w:tcPr>
          <w:p w14:paraId="34247A01">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区发展改革委牵头，区教体局、区财政局和各乡镇、街道按职责分工负责。</w:t>
            </w:r>
          </w:p>
        </w:tc>
      </w:tr>
      <w:tr w14:paraId="05A30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4" w:hRule="atLeast"/>
        </w:trPr>
        <w:tc>
          <w:tcPr>
            <w:tcW w:w="700" w:type="dxa"/>
            <w:noWrap w:val="0"/>
            <w:vAlign w:val="center"/>
          </w:tcPr>
          <w:p w14:paraId="3A55F7E8">
            <w:pPr>
              <w:widowControl w:val="0"/>
              <w:kinsoku/>
              <w:autoSpaceDE/>
              <w:autoSpaceDN/>
              <w:adjustRightInd/>
              <w:snapToGrid/>
              <w:spacing w:line="56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18</w:t>
            </w:r>
          </w:p>
        </w:tc>
        <w:tc>
          <w:tcPr>
            <w:tcW w:w="4650" w:type="dxa"/>
            <w:noWrap w:val="0"/>
            <w:vAlign w:val="center"/>
          </w:tcPr>
          <w:p w14:paraId="306DBFB5">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制定学校体育场地开放补偿办法。</w:t>
            </w:r>
          </w:p>
        </w:tc>
        <w:tc>
          <w:tcPr>
            <w:tcW w:w="1183" w:type="dxa"/>
            <w:noWrap w:val="0"/>
            <w:vAlign w:val="center"/>
          </w:tcPr>
          <w:p w14:paraId="0FEC5134">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2022年12月。</w:t>
            </w:r>
          </w:p>
        </w:tc>
        <w:tc>
          <w:tcPr>
            <w:tcW w:w="2327" w:type="dxa"/>
            <w:noWrap w:val="0"/>
            <w:vAlign w:val="center"/>
          </w:tcPr>
          <w:p w14:paraId="3280ADE2">
            <w:pPr>
              <w:widowControl w:val="0"/>
              <w:kinsoku/>
              <w:autoSpaceDE/>
              <w:autoSpaceDN/>
              <w:adjustRightInd/>
              <w:snapToGrid/>
              <w:spacing w:line="560" w:lineRule="exact"/>
              <w:jc w:val="left"/>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区教体局牵头，区财政局配合。</w:t>
            </w:r>
          </w:p>
        </w:tc>
      </w:tr>
    </w:tbl>
    <w:p w14:paraId="1B0CD503">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b/>
          <w:bCs/>
          <w:snapToGrid/>
          <w:kern w:val="0"/>
          <w:sz w:val="32"/>
          <w:szCs w:val="32"/>
          <w:shd w:val="clear" w:color="auto" w:fill="FFFFFF"/>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p>
    <w:p w14:paraId="2594F8A2">
      <w:pPr>
        <w:widowControl w:val="0"/>
        <w:kinsoku/>
        <w:autoSpaceDE/>
        <w:autoSpaceDN/>
        <w:adjustRightInd/>
        <w:snapToGrid/>
        <w:spacing w:line="620" w:lineRule="exact"/>
        <w:jc w:val="left"/>
        <w:textAlignment w:val="auto"/>
        <w:rPr>
          <w:rFonts w:hint="default" w:ascii="Times New Roman" w:hAnsi="Times New Roman" w:eastAsia="方正黑体_GBK" w:cs="Times New Roman"/>
          <w:bCs/>
          <w:snapToGrid/>
          <w:kern w:val="2"/>
          <w:sz w:val="32"/>
          <w:szCs w:val="32"/>
          <w:lang w:val="en-US" w:eastAsia="zh-CN" w:bidi="ar-SA"/>
        </w:rPr>
      </w:pPr>
      <w:r>
        <w:rPr>
          <w:rFonts w:hint="default" w:ascii="Times New Roman" w:hAnsi="Times New Roman" w:eastAsia="方正黑体_GBK" w:cs="Times New Roman"/>
          <w:bCs/>
          <w:snapToGrid/>
          <w:kern w:val="2"/>
          <w:sz w:val="32"/>
          <w:szCs w:val="32"/>
          <w:lang w:val="en-US" w:eastAsia="zh-CN" w:bidi="ar-SA"/>
        </w:rPr>
        <w:t>附件9</w:t>
      </w:r>
    </w:p>
    <w:p w14:paraId="1A36F090">
      <w:pPr>
        <w:widowControl w:val="0"/>
        <w:kinsoku/>
        <w:autoSpaceDE/>
        <w:autoSpaceDN/>
        <w:adjustRightInd/>
        <w:snapToGrid/>
        <w:spacing w:line="620" w:lineRule="exact"/>
        <w:jc w:val="left"/>
        <w:textAlignment w:val="auto"/>
        <w:rPr>
          <w:rFonts w:hint="default" w:ascii="Times New Roman" w:hAnsi="Times New Roman" w:eastAsia="方正黑体_GBK" w:cs="Times New Roman"/>
          <w:bCs/>
          <w:snapToGrid/>
          <w:kern w:val="2"/>
          <w:sz w:val="32"/>
          <w:szCs w:val="32"/>
          <w:lang w:val="en-US" w:eastAsia="zh-CN" w:bidi="ar-SA"/>
        </w:rPr>
      </w:pPr>
    </w:p>
    <w:p w14:paraId="34792DDD">
      <w:pPr>
        <w:widowControl w:val="0"/>
        <w:kinsoku/>
        <w:autoSpaceDE/>
        <w:autoSpaceDN/>
        <w:adjustRightInd/>
        <w:snapToGrid/>
        <w:spacing w:line="620" w:lineRule="exact"/>
        <w:jc w:val="center"/>
        <w:textAlignment w:val="auto"/>
        <w:rPr>
          <w:rFonts w:hint="default" w:ascii="Times New Roman" w:hAnsi="Times New Roman" w:eastAsia="方正小标宋_GBK" w:cs="Times New Roman"/>
          <w:b/>
          <w:snapToGrid/>
          <w:kern w:val="2"/>
          <w:sz w:val="44"/>
          <w:szCs w:val="44"/>
          <w:lang w:val="en-US" w:eastAsia="zh-CN" w:bidi="ar-SA"/>
        </w:rPr>
      </w:pPr>
      <w:r>
        <w:rPr>
          <w:rFonts w:hint="default" w:ascii="Times New Roman" w:hAnsi="Times New Roman" w:eastAsia="方正小标宋_GBK" w:cs="Times New Roman"/>
          <w:b/>
          <w:snapToGrid/>
          <w:kern w:val="2"/>
          <w:sz w:val="44"/>
          <w:szCs w:val="44"/>
          <w:lang w:val="en-US" w:eastAsia="zh-CN" w:bidi="ar-SA"/>
        </w:rPr>
        <w:t>龙子湖区便民停车行动方案</w:t>
      </w:r>
    </w:p>
    <w:p w14:paraId="11F7E1BD">
      <w:pPr>
        <w:widowControl w:val="0"/>
        <w:kinsoku/>
        <w:autoSpaceDE/>
        <w:autoSpaceDN/>
        <w:adjustRightInd/>
        <w:snapToGrid/>
        <w:spacing w:line="620" w:lineRule="exact"/>
        <w:jc w:val="left"/>
        <w:textAlignment w:val="auto"/>
        <w:rPr>
          <w:rFonts w:hint="default" w:ascii="Times New Roman" w:hAnsi="Times New Roman" w:eastAsia="仿宋_GB2312" w:cs="Times New Roman"/>
          <w:snapToGrid/>
          <w:kern w:val="2"/>
          <w:sz w:val="32"/>
          <w:szCs w:val="32"/>
          <w:lang w:val="en-US" w:eastAsia="zh-CN" w:bidi="ar-SA"/>
        </w:rPr>
      </w:pPr>
    </w:p>
    <w:p w14:paraId="6CE6E6C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为深入贯彻落实安徽省委、省政府《暖民心行动方案》、《蚌埠市停车管理条例》，进一步规范城市道路交通秩序，推动治理出行难、停车难等“城市病”，不断提升城市道路交通治理能力现代化水平，营造“规范、安全、有序、畅通”的城市道路交通环境，</w:t>
      </w:r>
      <w:r>
        <w:rPr>
          <w:rFonts w:hint="default" w:ascii="Times New Roman" w:hAnsi="Times New Roman" w:eastAsia="方正仿宋_GBK" w:cs="Times New Roman"/>
          <w:snapToGrid/>
          <w:color w:val="000000"/>
          <w:kern w:val="2"/>
          <w:sz w:val="32"/>
          <w:szCs w:val="32"/>
          <w:lang w:val="en-US" w:eastAsia="zh-CN" w:bidi="ar-SA"/>
        </w:rPr>
        <w:t>结合我区实际，现制定龙子湖区便民停车行动方案。</w:t>
      </w:r>
    </w:p>
    <w:p w14:paraId="288C508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一、目标任务</w:t>
      </w:r>
    </w:p>
    <w:p w14:paraId="2E8F125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以“科学统筹布局、实现便民停车”为目标，以“新建配建停车泊位为主、盘活存量停车泊位为辅、路内停车泊位为补充”的原则，基本建成满足群众需求的城市停车供给体系，“出行难、停车难”问题有效缓解。</w:t>
      </w:r>
    </w:p>
    <w:p w14:paraId="37BC83B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二、工作措施</w:t>
      </w:r>
    </w:p>
    <w:p w14:paraId="11D1989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（一）扩大停车设施有效供给</w:t>
      </w:r>
    </w:p>
    <w:p w14:paraId="3AE1BC76">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1、严格落实新建配建标准。</w:t>
      </w:r>
      <w:r>
        <w:rPr>
          <w:rFonts w:hint="default" w:ascii="Times New Roman" w:hAnsi="Times New Roman" w:eastAsia="方正仿宋_GBK" w:cs="Times New Roman"/>
          <w:snapToGrid/>
          <w:kern w:val="2"/>
          <w:sz w:val="32"/>
          <w:szCs w:val="32"/>
          <w:shd w:val="clear" w:color="auto" w:fill="FFFFFF"/>
          <w:lang w:val="en-US" w:eastAsia="zh-CN" w:bidi="ar-SA"/>
        </w:rPr>
        <w:t>按照《城市停车设施规划导则》及相关管理要求，我区新建住宅小区配建停车泊位标准一般不低于1∶1.2；新建医院、商场等公共建筑配建停车泊位标准每百平方米一般不低于1.1个；利用城区功能性搬迁等腾出的土地，规划增建一定比例公共停车泊位。</w:t>
      </w:r>
      <w:r>
        <w:rPr>
          <w:rFonts w:hint="default" w:ascii="Times New Roman" w:hAnsi="Times New Roman" w:eastAsia="方正楷体_GBK" w:cs="Times New Roman"/>
          <w:b w:val="0"/>
          <w:bCs w:val="0"/>
          <w:snapToGrid/>
          <w:kern w:val="2"/>
          <w:sz w:val="32"/>
          <w:szCs w:val="32"/>
          <w:lang w:val="en-US" w:eastAsia="zh-CN" w:bidi="ar-SA"/>
        </w:rPr>
        <w:t>（牵头单位：区住建交通局；配合单位：区自然资源规划分局、区发改委、东投集团）</w:t>
      </w:r>
    </w:p>
    <w:p w14:paraId="09F9F3E6">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2、加快停车设施改建扩建。</w:t>
      </w:r>
      <w:r>
        <w:rPr>
          <w:rFonts w:hint="default" w:ascii="Times New Roman" w:hAnsi="Times New Roman" w:eastAsia="方正仿宋_GBK" w:cs="Times New Roman"/>
          <w:snapToGrid/>
          <w:kern w:val="2"/>
          <w:sz w:val="32"/>
          <w:szCs w:val="32"/>
          <w:shd w:val="clear" w:color="auto" w:fill="FFFFFF"/>
          <w:lang w:val="en-US" w:eastAsia="zh-CN" w:bidi="ar-SA"/>
        </w:rPr>
        <w:t>结合我区老旧小区改造，挖掘利用拆改腾退空间和边角地，进行改建扩建停车泊位；加强老城区、学校、医院、商超、农贸市场等重点区域公共停车设施“改扩建”和“平改立”；依法依规利用已有城市广场、车站码头、公园绿地、医院、中小学校操场及人防工程等空间，进行改建扩建公共停车泊位。</w:t>
      </w:r>
      <w:r>
        <w:rPr>
          <w:rFonts w:hint="default" w:ascii="Times New Roman" w:hAnsi="Times New Roman" w:eastAsia="方正楷体_GBK" w:cs="Times New Roman"/>
          <w:b w:val="0"/>
          <w:bCs w:val="0"/>
          <w:snapToGrid/>
          <w:kern w:val="2"/>
          <w:sz w:val="32"/>
          <w:szCs w:val="32"/>
          <w:lang w:val="en-US" w:eastAsia="zh-CN" w:bidi="ar-SA"/>
        </w:rPr>
        <w:t>（牵头单位：区自然资源规划分局；配合单位：区住建交通局、东投集团）</w:t>
      </w:r>
    </w:p>
    <w:p w14:paraId="6519F93B">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3、推进停车设施盘活共享。</w:t>
      </w:r>
      <w:r>
        <w:rPr>
          <w:rFonts w:hint="default" w:ascii="Times New Roman" w:hAnsi="Times New Roman" w:eastAsia="方正仿宋_GBK" w:cs="Times New Roman"/>
          <w:snapToGrid/>
          <w:kern w:val="2"/>
          <w:sz w:val="32"/>
          <w:szCs w:val="32"/>
          <w:shd w:val="clear" w:color="auto" w:fill="FFFFFF"/>
          <w:lang w:val="en-US" w:eastAsia="zh-CN" w:bidi="ar-SA"/>
        </w:rPr>
        <w:t>统筹停车资源，鼓励公共建筑、居住区等停车设施“错时开放”，引导机关、企事业单位等公共建筑的停车泊位晚间对外开放，居住小区的停车泊位白天对外开放，盘活共享停车泊位。</w:t>
      </w:r>
      <w:r>
        <w:rPr>
          <w:rFonts w:hint="default" w:ascii="Times New Roman" w:hAnsi="Times New Roman" w:eastAsia="方正楷体_GBK" w:cs="Times New Roman"/>
          <w:b w:val="0"/>
          <w:bCs w:val="0"/>
          <w:snapToGrid/>
          <w:kern w:val="2"/>
          <w:sz w:val="32"/>
          <w:szCs w:val="32"/>
          <w:lang w:val="en-US" w:eastAsia="zh-CN" w:bidi="ar-SA"/>
        </w:rPr>
        <w:t>（牵头单位：区城市管理局；配合单位：各乡街、市城投智慧停车管理有限公司）</w:t>
      </w:r>
    </w:p>
    <w:p w14:paraId="238B0FDF">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4、动态调整路内停车泊位。</w:t>
      </w:r>
      <w:r>
        <w:rPr>
          <w:rFonts w:hint="default" w:ascii="Times New Roman" w:hAnsi="Times New Roman" w:eastAsia="方正仿宋_GBK" w:cs="Times New Roman"/>
          <w:snapToGrid/>
          <w:kern w:val="2"/>
          <w:sz w:val="32"/>
          <w:szCs w:val="32"/>
          <w:shd w:val="clear" w:color="auto" w:fill="FFFFFF"/>
          <w:lang w:val="en-US" w:eastAsia="zh-CN" w:bidi="ar-SA"/>
        </w:rPr>
        <w:t>统筹考虑城市活动和交通通行，在确保车行步行、公交设施空间的基础上，挖掘路内可新增利用的停车资源，动态调整布设路内公共停车泊位，重点弥补医院、学校、商业中心、老旧小区的停车需要。</w:t>
      </w:r>
      <w:r>
        <w:rPr>
          <w:rFonts w:hint="default" w:ascii="Times New Roman" w:hAnsi="Times New Roman" w:eastAsia="方正楷体_GBK" w:cs="Times New Roman"/>
          <w:b w:val="0"/>
          <w:bCs w:val="0"/>
          <w:snapToGrid/>
          <w:kern w:val="2"/>
          <w:sz w:val="32"/>
          <w:szCs w:val="32"/>
          <w:lang w:val="en-US" w:eastAsia="zh-CN" w:bidi="ar-SA"/>
        </w:rPr>
        <w:t>（牵头单位：交警一大队；配合单位：市城投智慧停车管理有限公司）</w:t>
      </w:r>
    </w:p>
    <w:p w14:paraId="4A9A792C">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5、规范管理路外停车泊位。</w:t>
      </w:r>
      <w:r>
        <w:rPr>
          <w:rFonts w:hint="default" w:ascii="Times New Roman" w:hAnsi="Times New Roman" w:eastAsia="方正仿宋_GBK" w:cs="Times New Roman"/>
          <w:snapToGrid/>
          <w:kern w:val="2"/>
          <w:sz w:val="32"/>
          <w:szCs w:val="32"/>
          <w:shd w:val="clear" w:color="auto" w:fill="FFFFFF"/>
          <w:lang w:val="en-US" w:eastAsia="zh-CN" w:bidi="ar-SA"/>
        </w:rPr>
        <w:t>对私自在路外公共区域设置停车场、设置障碍物等占用路外停车资源现象进行集中整治清理，同步按照土地控规和详规，对路外停车资源进行科学布设，释放公共停车空间；规范做好公共区域停车管理，通过行政化管理和市场化运营的结合，打造静态交通管理“龙子湖模式”，有效缓解乱停乱放、长期私自占用公共资源等现象。</w:t>
      </w:r>
      <w:r>
        <w:rPr>
          <w:rFonts w:hint="default" w:ascii="Times New Roman" w:hAnsi="Times New Roman" w:eastAsia="方正楷体_GBK" w:cs="Times New Roman"/>
          <w:b w:val="0"/>
          <w:bCs w:val="0"/>
          <w:snapToGrid/>
          <w:kern w:val="2"/>
          <w:sz w:val="32"/>
          <w:szCs w:val="32"/>
          <w:lang w:val="en-US" w:eastAsia="zh-CN" w:bidi="ar-SA"/>
        </w:rPr>
        <w:t>（牵头单位：区城市管理局；配合单位：各乡街、东投集团、市城投智慧停车管理有限公司）</w:t>
      </w:r>
    </w:p>
    <w:p w14:paraId="65AFA56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（二）加强城市停车设施管理</w:t>
      </w:r>
    </w:p>
    <w:p w14:paraId="028C57F0">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1、加强智慧停车管理。</w:t>
      </w:r>
      <w:r>
        <w:rPr>
          <w:rFonts w:hint="default" w:ascii="Times New Roman" w:hAnsi="Times New Roman" w:eastAsia="方正仿宋_GBK" w:cs="Times New Roman"/>
          <w:snapToGrid/>
          <w:kern w:val="2"/>
          <w:sz w:val="32"/>
          <w:szCs w:val="32"/>
          <w:shd w:val="clear" w:color="auto" w:fill="FFFFFF"/>
          <w:lang w:val="en-US" w:eastAsia="zh-CN" w:bidi="ar-SA"/>
        </w:rPr>
        <w:t>依托市城市管理局和蚌埠市城投智慧停车管理有限公司建设的城市智能停车信息平台系统，全区各类停车信息数据同步接入市区两级大数据中心，建成市区联动统一的城市智能停车基础信息服务平台。形成“动态”交通与“静态”交通的良性互动，为全区错时共享停车、停车诱导、无感收费等工作提供技术保障，有效提升停车周转率；支持蚌埠市城投智慧停车管理有限公司建成具有核心技术和全产业链的省级一流停车企业。</w:t>
      </w:r>
      <w:r>
        <w:rPr>
          <w:rFonts w:hint="default" w:ascii="Times New Roman" w:hAnsi="Times New Roman" w:eastAsia="方正楷体_GBK" w:cs="Times New Roman"/>
          <w:b w:val="0"/>
          <w:bCs w:val="0"/>
          <w:snapToGrid/>
          <w:kern w:val="2"/>
          <w:sz w:val="32"/>
          <w:szCs w:val="32"/>
          <w:lang w:val="en-US" w:eastAsia="zh-CN" w:bidi="ar-SA"/>
        </w:rPr>
        <w:t>（牵头单位：区数据资源管理局；配合单位：区城市管理局、东投集团、市城投智慧停车管理有限公司）</w:t>
      </w:r>
    </w:p>
    <w:p w14:paraId="5F2F35D0">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2、健全停车管理机制。</w:t>
      </w:r>
      <w:r>
        <w:rPr>
          <w:rFonts w:hint="default" w:ascii="Times New Roman" w:hAnsi="Times New Roman" w:eastAsia="方正仿宋_GBK" w:cs="Times New Roman"/>
          <w:snapToGrid/>
          <w:kern w:val="2"/>
          <w:sz w:val="32"/>
          <w:szCs w:val="32"/>
          <w:shd w:val="clear" w:color="auto" w:fill="FFFFFF"/>
          <w:lang w:val="en-US" w:eastAsia="zh-CN" w:bidi="ar-SA"/>
        </w:rPr>
        <w:t>协商市发改委完善城市公共停车收费价格机制，推进城市停车收费政策出台，利用价格杠杆及时疏导停车供需矛盾，实现“分区域、分类别、分时段”等差别化停车收费管理；加大停车设施管理的监管力度，强化宣传，引导居民规范停车行为，促进停车资源有效配置和充分利用。</w:t>
      </w:r>
      <w:r>
        <w:rPr>
          <w:rFonts w:hint="default" w:ascii="Times New Roman" w:hAnsi="Times New Roman" w:eastAsia="方正楷体_GBK" w:cs="Times New Roman"/>
          <w:b w:val="0"/>
          <w:bCs w:val="0"/>
          <w:snapToGrid/>
          <w:kern w:val="2"/>
          <w:sz w:val="32"/>
          <w:szCs w:val="32"/>
          <w:lang w:val="en-US" w:eastAsia="zh-CN" w:bidi="ar-SA"/>
        </w:rPr>
        <w:t>（牵头单位：区发改委；配合单位：区委宣传部、区城市管理局、东投集团、市城投智慧停车管理有限公司）</w:t>
      </w:r>
    </w:p>
    <w:p w14:paraId="3B384FD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(三)提升城市停车配套服务</w:t>
      </w:r>
    </w:p>
    <w:p w14:paraId="30F8189C">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1、完善停车场充电设施。</w:t>
      </w:r>
      <w:r>
        <w:rPr>
          <w:rFonts w:hint="default" w:ascii="Times New Roman" w:hAnsi="Times New Roman" w:eastAsia="方正仿宋_GBK" w:cs="Times New Roman"/>
          <w:snapToGrid/>
          <w:kern w:val="2"/>
          <w:sz w:val="32"/>
          <w:szCs w:val="32"/>
          <w:shd w:val="clear" w:color="auto" w:fill="FFFFFF"/>
          <w:lang w:val="en-US" w:eastAsia="zh-CN" w:bidi="ar-SA"/>
        </w:rPr>
        <w:t>加强大型商场、医院、学校、文化体育场馆和交通枢纽等停车场公共充电设施建设。新建</w:t>
      </w:r>
    </w:p>
    <w:p w14:paraId="20BF304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住宅配建停车位100%建设充电设施或预留建设安装条件，公共停车场建设充电设施或预留建设安装条件的车位比例不低于20%，并逐步扩大设置比例，推行“临近车位共享”“多车一桩”等新模式。</w:t>
      </w:r>
      <w:r>
        <w:rPr>
          <w:rFonts w:hint="default" w:ascii="Times New Roman" w:hAnsi="Times New Roman" w:eastAsia="方正楷体_GBK" w:cs="Times New Roman"/>
          <w:b w:val="0"/>
          <w:bCs w:val="0"/>
          <w:snapToGrid/>
          <w:kern w:val="2"/>
          <w:sz w:val="32"/>
          <w:szCs w:val="32"/>
          <w:lang w:val="en-US" w:eastAsia="zh-CN" w:bidi="ar-SA"/>
        </w:rPr>
        <w:t>（牵头单位：区发改委；配合单位：区住建交通局、东投集团、市城投智慧停车管理有限公司）。</w:t>
      </w:r>
    </w:p>
    <w:p w14:paraId="0DAAD2B6">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shd w:val="clear" w:color="auto" w:fill="FFFFFF"/>
          <w:lang w:val="en-US" w:eastAsia="zh-CN" w:bidi="ar-SA"/>
        </w:rPr>
        <w:t>2、支持停车场多元经营。</w:t>
      </w:r>
      <w:r>
        <w:rPr>
          <w:rFonts w:hint="default" w:ascii="Times New Roman" w:hAnsi="Times New Roman" w:eastAsia="方正仿宋_GBK" w:cs="Times New Roman"/>
          <w:snapToGrid/>
          <w:kern w:val="2"/>
          <w:sz w:val="32"/>
          <w:szCs w:val="32"/>
          <w:shd w:val="clear" w:color="auto" w:fill="FFFFFF"/>
          <w:lang w:val="en-US" w:eastAsia="zh-CN" w:bidi="ar-SA"/>
        </w:rPr>
        <w:t>在不减少车位的前提下，支持停车设施配建一定比例的洗车点、便利店等便民设施；以两站、蚌医一附院周边静态交通整治为试点，形成可推广、可复制的静态交通管理模式；围绕可再生能源充电发展思路，大力推进停车场建筑光伏一体化。</w:t>
      </w:r>
      <w:r>
        <w:rPr>
          <w:rFonts w:hint="default" w:ascii="Times New Roman" w:hAnsi="Times New Roman" w:eastAsia="方正楷体_GBK" w:cs="Times New Roman"/>
          <w:b w:val="0"/>
          <w:bCs w:val="0"/>
          <w:snapToGrid/>
          <w:kern w:val="2"/>
          <w:sz w:val="32"/>
          <w:szCs w:val="32"/>
          <w:lang w:val="en-US" w:eastAsia="zh-CN" w:bidi="ar-SA"/>
        </w:rPr>
        <w:t>（牵头单位：区城市管理局；配合单位：区发改委、区住建交通局、区自然资源规划分局、交警一大队、各乡街、东投集团、市城投智慧停车管理有限公司）</w:t>
      </w:r>
    </w:p>
    <w:p w14:paraId="72D8DCB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三、政策支持</w:t>
      </w:r>
    </w:p>
    <w:p w14:paraId="31AFFB7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（一）完善用地政策</w:t>
      </w:r>
    </w:p>
    <w:p w14:paraId="110839F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加强项目用地保障，充分开发既有道路、广场等地下空间以及高架桥下、城市边角地、废弃厂房、闲置收储地块等资源建设公共停车场及立体车库建设；交通枢纽配套的公共停车设施、驻车换乘停车设施等符合《划拨用地目录》的，采取划拨方式供地。</w:t>
      </w:r>
    </w:p>
    <w:p w14:paraId="298B669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（二）拓宽融资渠道</w:t>
      </w:r>
    </w:p>
    <w:p w14:paraId="6C6753F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鼓励社会资本投入，采取政府和社会资本合作(PPP)、特许经营等方式参与城市公共停车设施投资建设和运营管理；支持区域统筹、整体打包停车设施资源，发挥规模优势开展社会化合作，统一组织建设运营；积极与各商业银行等金融机构探索提供基于停车设施产权和使用权的抵押融资、融资租赁等金融服务。</w:t>
      </w:r>
    </w:p>
    <w:p w14:paraId="44097CA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（三）强化财政支持</w:t>
      </w:r>
    </w:p>
    <w:p w14:paraId="454BFF5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引导和鼓励项目“打捆”等方式申请专项债券，用于城市停车场项目建设；完善龙子湖区城市公共停车设施建设项目，积极争取贴补或奖补等方式给予支持。</w:t>
      </w:r>
    </w:p>
    <w:p w14:paraId="24D3FA1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（四）优化营商环境</w:t>
      </w:r>
    </w:p>
    <w:p w14:paraId="1D4CBD0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鼓励各类市场主体参与停车设施建设、装备研发、产品供应、设施维保、运营管理和信息系统建设；优化公共停车设施项目在规划、立项、招投标、建设、经营等环节的审批程序；对小型停车设施项目和利用自有土地建设的停车设施项目实行备案制；对利用自有土地建设的室外立体停车设施项目，按照特种设备监督管理。</w:t>
      </w:r>
    </w:p>
    <w:p w14:paraId="5987105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四、实施步骤</w:t>
      </w:r>
    </w:p>
    <w:p w14:paraId="3CEA31F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（一）准备阶段（2022年6月1日-6月30日）</w:t>
      </w:r>
    </w:p>
    <w:p w14:paraId="644649F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摸排辖区现有停车场数、车位数、机动车保有量和可利用新增车位数，为统筹停车资源打好基础。</w:t>
      </w:r>
    </w:p>
    <w:p w14:paraId="3CCC5BD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（二）编制实施细则（2022年7月1日-7月31日）</w:t>
      </w:r>
    </w:p>
    <w:p w14:paraId="695CCF0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对照方案责任分工要求，各部门制定具体规划、新建、宣传、管理等工作实施方案。</w:t>
      </w:r>
    </w:p>
    <w:p w14:paraId="4E25BFA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（三）全面推进阶段（2022年8月1日-12月底）</w:t>
      </w:r>
    </w:p>
    <w:p w14:paraId="36801F0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全面开展和实施2022年度新增停车位项目，完成建设、验收和管理等工作。</w:t>
      </w:r>
    </w:p>
    <w:p w14:paraId="48BF9A5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（四）全面完成总结阶段（2023年1月-2025年12月）</w:t>
      </w:r>
    </w:p>
    <w:p w14:paraId="51866AC3">
      <w:pPr>
        <w:keepNext w:val="0"/>
        <w:keepLines w:val="0"/>
        <w:pageBreakBefore w:val="0"/>
        <w:widowControl w:val="0"/>
        <w:kinsoku/>
        <w:wordWrap/>
        <w:overflowPunct/>
        <w:topLinePunct w:val="0"/>
        <w:autoSpaceDE/>
        <w:autoSpaceDN/>
        <w:bidi w:val="0"/>
        <w:adjustRightInd/>
        <w:spacing w:after="0" w:line="590" w:lineRule="exact"/>
        <w:ind w:left="111" w:firstLine="640" w:firstLineChars="200"/>
        <w:jc w:val="both"/>
        <w:textAlignment w:val="auto"/>
        <w:rPr>
          <w:rFonts w:hint="default" w:ascii="Times New Roman" w:hAnsi="Times New Roman" w:eastAsia="黑体" w:cs="Times New Roman"/>
          <w:kern w:val="2"/>
          <w:sz w:val="32"/>
          <w:szCs w:val="32"/>
          <w:lang w:val="en-US" w:eastAsia="zh-CN" w:bidi="ar-SA"/>
        </w:rPr>
      </w:pPr>
      <w:r>
        <w:rPr>
          <w:rFonts w:hint="default" w:ascii="Times New Roman" w:hAnsi="Times New Roman" w:eastAsia="方正仿宋_GBK" w:cs="Times New Roman"/>
          <w:kern w:val="2"/>
          <w:sz w:val="32"/>
          <w:szCs w:val="32"/>
          <w:shd w:val="clear" w:color="auto" w:fill="FFFFFF"/>
          <w:lang w:val="en-US" w:eastAsia="zh-CN" w:bidi="ar-SA"/>
        </w:rPr>
        <w:t xml:space="preserve">完成省市下达的书面三年目标任务，全面总结三年工作经验。   </w:t>
      </w:r>
      <w:r>
        <w:rPr>
          <w:rFonts w:hint="default" w:ascii="Times New Roman" w:hAnsi="Times New Roman" w:cs="Times New Roman" w:eastAsiaTheme="minorEastAsia"/>
          <w:kern w:val="2"/>
          <w:sz w:val="32"/>
          <w:szCs w:val="32"/>
          <w:lang w:val="en-US" w:eastAsia="zh-CN" w:bidi="ar"/>
        </w:rPr>
        <w:t xml:space="preserve">                   </w:t>
      </w:r>
    </w:p>
    <w:p w14:paraId="7A5E8F7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五、保障措施</w:t>
      </w:r>
    </w:p>
    <w:p w14:paraId="3B908D6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（一）强化组织领导</w:t>
      </w:r>
    </w:p>
    <w:p w14:paraId="3DB318BB">
      <w:pPr>
        <w:keepNext w:val="0"/>
        <w:keepLines w:val="0"/>
        <w:pageBreakBefore w:val="0"/>
        <w:widowControl w:val="0"/>
        <w:kinsoku/>
        <w:wordWrap/>
        <w:overflowPunct/>
        <w:topLinePunct w:val="0"/>
        <w:autoSpaceDE/>
        <w:autoSpaceDN/>
        <w:bidi w:val="0"/>
        <w:adjustRightInd/>
        <w:spacing w:after="0" w:line="590" w:lineRule="exact"/>
        <w:ind w:left="111" w:firstLine="640" w:firstLineChars="200"/>
        <w:jc w:val="both"/>
        <w:textAlignment w:val="auto"/>
        <w:rPr>
          <w:rFonts w:hint="default" w:ascii="Times New Roman" w:hAnsi="Times New Roman" w:eastAsia="方正仿宋_GBK" w:cs="Times New Roman"/>
          <w:kern w:val="2"/>
          <w:sz w:val="32"/>
          <w:szCs w:val="32"/>
          <w:shd w:val="clear" w:color="auto" w:fill="FFFFFF"/>
          <w:lang w:val="en-US" w:eastAsia="zh-CN" w:bidi="ar-SA"/>
        </w:rPr>
      </w:pPr>
      <w:r>
        <w:rPr>
          <w:rFonts w:hint="default" w:ascii="Times New Roman" w:hAnsi="Times New Roman" w:eastAsia="方正仿宋_GBK" w:cs="Times New Roman"/>
          <w:kern w:val="2"/>
          <w:sz w:val="32"/>
          <w:szCs w:val="32"/>
          <w:shd w:val="clear" w:color="auto" w:fill="FFFFFF"/>
          <w:lang w:val="en-US" w:eastAsia="zh-CN" w:bidi="ar-SA"/>
        </w:rPr>
        <w:t>为进一步强化管理，成立了龙子湖区便民停车行动领导小组，由区政府分管副区长担任组长，区委宣传部、区发改委、区住建交通局、区数据资源局、区城市管理局、区自然资源和规划分局、各乡街、东投集团、市城投智慧停车管理有限公司等相关单位为成员单位，领导小组办公室设在区城市管理局，领导小组办公室负责具体工作的组织协调。</w:t>
      </w:r>
    </w:p>
    <w:p w14:paraId="6508236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（二）强化宣传引导</w:t>
      </w:r>
    </w:p>
    <w:p w14:paraId="54117970">
      <w:pPr>
        <w:keepNext w:val="0"/>
        <w:keepLines w:val="0"/>
        <w:pageBreakBefore w:val="0"/>
        <w:widowControl w:val="0"/>
        <w:kinsoku/>
        <w:wordWrap/>
        <w:overflowPunct/>
        <w:topLinePunct w:val="0"/>
        <w:autoSpaceDE/>
        <w:autoSpaceDN/>
        <w:bidi w:val="0"/>
        <w:adjustRightInd/>
        <w:snapToGrid w:val="0"/>
        <w:spacing w:line="590" w:lineRule="exact"/>
        <w:ind w:firstLine="640" w:firstLineChars="200"/>
        <w:jc w:val="left"/>
        <w:textAlignment w:val="auto"/>
        <w:rPr>
          <w:rFonts w:hint="default" w:ascii="Times New Roman" w:hAnsi="Times New Roman" w:eastAsia="方正仿宋_GBK" w:cs="Times New Roman"/>
          <w:kern w:val="2"/>
          <w:sz w:val="32"/>
          <w:szCs w:val="32"/>
          <w:shd w:val="clear" w:color="auto" w:fill="FFFFFF"/>
          <w:lang w:val="en-US" w:eastAsia="zh-CN" w:bidi="ar-SA"/>
        </w:rPr>
      </w:pPr>
      <w:r>
        <w:rPr>
          <w:rFonts w:hint="default" w:ascii="Times New Roman" w:hAnsi="Times New Roman" w:eastAsia="方正仿宋_GBK" w:cs="Times New Roman"/>
          <w:kern w:val="2"/>
          <w:sz w:val="32"/>
          <w:szCs w:val="32"/>
          <w:shd w:val="clear" w:color="auto" w:fill="FFFFFF"/>
          <w:lang w:val="en-US" w:eastAsia="zh-CN" w:bidi="ar-SA"/>
        </w:rPr>
        <w:t>加大宣传引导力度，将停车便民行动与文明城市创建相结合，与《蚌埠市停车管理条例》宣传相结合，与两站、蚌医一附院静态交通整治工作相结合，通过电视台、日报社、微信公众号、社区微信群、LED屏、宣传彩页等渠道进行广泛宣传，营造良好的舆论氛围，切实让人民群众深入理解、支持便民停车行动，同时注重听取吸纳人民群众的意见建议，凝聚为民服务共识。</w:t>
      </w:r>
    </w:p>
    <w:p w14:paraId="01B90B7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（三）强化统筹运作</w:t>
      </w:r>
    </w:p>
    <w:p w14:paraId="755A994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将地上和地下、路内和路外、老旧小区和新建小区、存量资源盘活和增量资源开拓、重点区域和全区范围、行政化管理和市场化运营、交警执法和城管执法等各方面因素通盘考虑、统筹谋划，捋顺行动路径，细化责任落实，形成工作合力。</w:t>
      </w:r>
    </w:p>
    <w:p w14:paraId="7452A8E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积极学习先进地市成功经验，结合我区实际，努力探索出一套可复制推广的工作经验，既能解决当前停车难、停车乱等痛点难点问题，又具较强操作性的长效管理模式，建设和管理同步发力，文明和便民同步彰显，切实让人民群众看到实实在在的成效，真正达到便民利民效果，努力推进幸福蚌埠建设。</w:t>
      </w:r>
    </w:p>
    <w:p w14:paraId="43E1EE7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r>
        <w:rPr>
          <w:rFonts w:hint="default" w:ascii="Times New Roman" w:hAnsi="Times New Roman" w:eastAsia="方正仿宋_GBK" w:cs="Times New Roman"/>
          <w:snapToGrid/>
          <w:kern w:val="2"/>
          <w:sz w:val="32"/>
          <w:szCs w:val="32"/>
          <w:shd w:val="clear" w:color="auto" w:fill="FFFFFF"/>
          <w:lang w:val="en-US" w:eastAsia="zh-CN" w:bidi="ar-SA"/>
        </w:rPr>
        <w:t>附件：龙子湖区停车资源摸排统计表</w:t>
      </w:r>
    </w:p>
    <w:p w14:paraId="06B9544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shd w:val="clear" w:color="auto" w:fill="FFFFFF"/>
          <w:lang w:val="en-US" w:eastAsia="zh-CN" w:bidi="ar-SA"/>
        </w:rPr>
      </w:pPr>
    </w:p>
    <w:tbl>
      <w:tblPr>
        <w:tblStyle w:val="10"/>
        <w:tblpPr w:leftFromText="180" w:rightFromText="180" w:vertAnchor="text" w:horzAnchor="page" w:tblpX="1559" w:tblpY="-319"/>
        <w:tblOverlap w:val="never"/>
        <w:tblW w:w="8924" w:type="dxa"/>
        <w:tblInd w:w="0" w:type="dxa"/>
        <w:tblLayout w:type="fixed"/>
        <w:tblCellMar>
          <w:top w:w="0" w:type="dxa"/>
          <w:left w:w="0" w:type="dxa"/>
          <w:bottom w:w="0" w:type="dxa"/>
          <w:right w:w="0" w:type="dxa"/>
        </w:tblCellMar>
      </w:tblPr>
      <w:tblGrid>
        <w:gridCol w:w="274"/>
        <w:gridCol w:w="300"/>
        <w:gridCol w:w="416"/>
        <w:gridCol w:w="284"/>
        <w:gridCol w:w="283"/>
        <w:gridCol w:w="367"/>
        <w:gridCol w:w="333"/>
        <w:gridCol w:w="417"/>
        <w:gridCol w:w="550"/>
        <w:gridCol w:w="566"/>
        <w:gridCol w:w="400"/>
        <w:gridCol w:w="367"/>
        <w:gridCol w:w="450"/>
        <w:gridCol w:w="450"/>
        <w:gridCol w:w="383"/>
        <w:gridCol w:w="400"/>
        <w:gridCol w:w="517"/>
        <w:gridCol w:w="583"/>
        <w:gridCol w:w="617"/>
        <w:gridCol w:w="533"/>
        <w:gridCol w:w="434"/>
      </w:tblGrid>
      <w:tr w14:paraId="2FC1ED2B">
        <w:tblPrEx>
          <w:tblCellMar>
            <w:top w:w="0" w:type="dxa"/>
            <w:left w:w="0" w:type="dxa"/>
            <w:bottom w:w="0" w:type="dxa"/>
            <w:right w:w="0" w:type="dxa"/>
          </w:tblCellMar>
        </w:tblPrEx>
        <w:trPr>
          <w:trHeight w:val="646" w:hRule="atLeast"/>
        </w:trPr>
        <w:tc>
          <w:tcPr>
            <w:tcW w:w="8924" w:type="dxa"/>
            <w:gridSpan w:val="21"/>
            <w:vMerge w:val="restart"/>
            <w:tcBorders>
              <w:top w:val="nil"/>
              <w:left w:val="nil"/>
              <w:bottom w:val="nil"/>
              <w:right w:val="nil"/>
            </w:tcBorders>
            <w:noWrap/>
            <w:tcMar>
              <w:top w:w="15" w:type="dxa"/>
              <w:left w:w="15" w:type="dxa"/>
              <w:right w:w="15" w:type="dxa"/>
            </w:tcMar>
            <w:vAlign w:val="center"/>
          </w:tcPr>
          <w:p w14:paraId="1870A1D0">
            <w:pPr>
              <w:widowControl/>
              <w:kinsoku/>
              <w:autoSpaceDE/>
              <w:autoSpaceDN/>
              <w:adjustRightInd/>
              <w:snapToGrid/>
              <w:spacing w:line="240" w:lineRule="auto"/>
              <w:jc w:val="center"/>
              <w:textAlignment w:val="center"/>
              <w:rPr>
                <w:rFonts w:hint="default" w:ascii="Times New Roman" w:hAnsi="Times New Roman" w:cs="Times New Roman" w:eastAsiaTheme="minorEastAsia"/>
                <w:b/>
                <w:snapToGrid/>
                <w:color w:val="000000"/>
                <w:kern w:val="0"/>
                <w:sz w:val="44"/>
                <w:szCs w:val="44"/>
                <w:lang w:val="en-US" w:eastAsia="zh-CN" w:bidi="ar"/>
              </w:rPr>
            </w:pPr>
          </w:p>
          <w:p w14:paraId="53FF9C25">
            <w:pPr>
              <w:widowControl/>
              <w:kinsoku/>
              <w:autoSpaceDE/>
              <w:autoSpaceDN/>
              <w:adjustRightInd/>
              <w:snapToGrid/>
              <w:spacing w:line="240" w:lineRule="auto"/>
              <w:ind w:firstLine="1760" w:firstLineChars="400"/>
              <w:jc w:val="both"/>
              <w:textAlignment w:val="center"/>
              <w:rPr>
                <w:rFonts w:hint="default" w:ascii="Times New Roman" w:hAnsi="Times New Roman" w:cs="Times New Roman" w:eastAsiaTheme="minorEastAsia"/>
                <w:b/>
                <w:snapToGrid/>
                <w:color w:val="000000"/>
                <w:kern w:val="2"/>
                <w:sz w:val="44"/>
                <w:szCs w:val="44"/>
                <w:lang w:val="en-US" w:eastAsia="zh-CN" w:bidi="ar-SA"/>
              </w:rPr>
            </w:pPr>
            <w:r>
              <w:rPr>
                <w:rFonts w:hint="default" w:ascii="Times New Roman" w:hAnsi="Times New Roman" w:eastAsia="方正小标宋_GBK" w:cs="Times New Roman"/>
                <w:bCs/>
                <w:snapToGrid/>
                <w:color w:val="000000"/>
                <w:kern w:val="0"/>
                <w:sz w:val="44"/>
                <w:szCs w:val="44"/>
                <w:lang w:val="en-US" w:eastAsia="zh-CN" w:bidi="ar"/>
              </w:rPr>
              <w:t>龙子湖区停车资源摸排统计表</w:t>
            </w:r>
          </w:p>
        </w:tc>
      </w:tr>
      <w:tr w14:paraId="4AF229D1">
        <w:tblPrEx>
          <w:tblCellMar>
            <w:top w:w="0" w:type="dxa"/>
            <w:left w:w="0" w:type="dxa"/>
            <w:bottom w:w="0" w:type="dxa"/>
            <w:right w:w="0" w:type="dxa"/>
          </w:tblCellMar>
        </w:tblPrEx>
        <w:trPr>
          <w:trHeight w:val="947" w:hRule="atLeast"/>
        </w:trPr>
        <w:tc>
          <w:tcPr>
            <w:tcW w:w="8924" w:type="dxa"/>
            <w:gridSpan w:val="21"/>
            <w:vMerge w:val="continue"/>
            <w:tcBorders>
              <w:top w:val="nil"/>
              <w:left w:val="nil"/>
              <w:bottom w:val="nil"/>
              <w:right w:val="nil"/>
            </w:tcBorders>
            <w:noWrap/>
            <w:tcMar>
              <w:top w:w="15" w:type="dxa"/>
              <w:left w:w="15" w:type="dxa"/>
              <w:right w:w="15" w:type="dxa"/>
            </w:tcMar>
            <w:vAlign w:val="center"/>
          </w:tcPr>
          <w:p w14:paraId="63B02F1C">
            <w:pPr>
              <w:widowControl w:val="0"/>
              <w:kinsoku/>
              <w:autoSpaceDE/>
              <w:autoSpaceDN/>
              <w:adjustRightInd/>
              <w:snapToGrid/>
              <w:spacing w:line="240" w:lineRule="auto"/>
              <w:jc w:val="center"/>
              <w:textAlignment w:val="auto"/>
              <w:rPr>
                <w:rFonts w:hint="default" w:ascii="Times New Roman" w:hAnsi="Times New Roman" w:cs="Times New Roman" w:eastAsiaTheme="minorEastAsia"/>
                <w:b/>
                <w:snapToGrid/>
                <w:color w:val="000000"/>
                <w:kern w:val="2"/>
                <w:sz w:val="44"/>
                <w:szCs w:val="44"/>
                <w:lang w:val="en-US" w:eastAsia="zh-CN" w:bidi="ar-SA"/>
              </w:rPr>
            </w:pPr>
          </w:p>
        </w:tc>
      </w:tr>
      <w:tr w14:paraId="75BD1AEA">
        <w:tblPrEx>
          <w:tblCellMar>
            <w:top w:w="0" w:type="dxa"/>
            <w:left w:w="0" w:type="dxa"/>
            <w:bottom w:w="0" w:type="dxa"/>
            <w:right w:w="0" w:type="dxa"/>
          </w:tblCellMar>
        </w:tblPrEx>
        <w:trPr>
          <w:trHeight w:val="2841" w:hRule="atLeast"/>
        </w:trPr>
        <w:tc>
          <w:tcPr>
            <w:tcW w:w="274"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980C280">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序号</w:t>
            </w:r>
          </w:p>
        </w:tc>
        <w:tc>
          <w:tcPr>
            <w:tcW w:w="300"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08A02D">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所在街道</w:t>
            </w:r>
          </w:p>
        </w:tc>
        <w:tc>
          <w:tcPr>
            <w:tcW w:w="416"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BA6CC28">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所在村居</w:t>
            </w:r>
          </w:p>
        </w:tc>
        <w:tc>
          <w:tcPr>
            <w:tcW w:w="1684" w:type="dxa"/>
            <w:gridSpan w:val="5"/>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11F49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停车场</w:t>
            </w:r>
          </w:p>
        </w:tc>
        <w:tc>
          <w:tcPr>
            <w:tcW w:w="1116"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2370B1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路面车位数</w:t>
            </w:r>
          </w:p>
        </w:tc>
        <w:tc>
          <w:tcPr>
            <w:tcW w:w="1217"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A9328D">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小区停车</w:t>
            </w:r>
          </w:p>
        </w:tc>
        <w:tc>
          <w:tcPr>
            <w:tcW w:w="1233" w:type="dxa"/>
            <w:gridSpan w:val="3"/>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AAD94E9">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可利用停车场地</w:t>
            </w:r>
          </w:p>
        </w:tc>
        <w:tc>
          <w:tcPr>
            <w:tcW w:w="51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5BDCD64">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所辖区域总车位数</w:t>
            </w:r>
          </w:p>
        </w:tc>
        <w:tc>
          <w:tcPr>
            <w:tcW w:w="5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811E045">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所辖区域机动车保有量</w:t>
            </w: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3742B7">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社区负责人</w:t>
            </w:r>
          </w:p>
        </w:tc>
        <w:tc>
          <w:tcPr>
            <w:tcW w:w="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24D2AC">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联系方式</w:t>
            </w: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C503B1">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备注</w:t>
            </w:r>
          </w:p>
        </w:tc>
      </w:tr>
      <w:tr w14:paraId="02283987">
        <w:tblPrEx>
          <w:tblCellMar>
            <w:top w:w="0" w:type="dxa"/>
            <w:left w:w="0" w:type="dxa"/>
            <w:bottom w:w="0" w:type="dxa"/>
            <w:right w:w="0" w:type="dxa"/>
          </w:tblCellMar>
        </w:tblPrEx>
        <w:trPr>
          <w:trHeight w:val="2137" w:hRule="atLeast"/>
        </w:trPr>
        <w:tc>
          <w:tcPr>
            <w:tcW w:w="274"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9EFB05">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00"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54084E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6"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F560CA">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62B986F">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具体位置</w:t>
            </w: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FCA0C2">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停车数量</w:t>
            </w:r>
          </w:p>
        </w:tc>
        <w:tc>
          <w:tcPr>
            <w:tcW w:w="36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073F1B1">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面积（平方米）</w:t>
            </w:r>
          </w:p>
        </w:tc>
        <w:tc>
          <w:tcPr>
            <w:tcW w:w="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5862F1">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停车场权属</w:t>
            </w:r>
          </w:p>
        </w:tc>
        <w:tc>
          <w:tcPr>
            <w:tcW w:w="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79070F">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管理负责人</w:t>
            </w:r>
          </w:p>
        </w:tc>
        <w:tc>
          <w:tcPr>
            <w:tcW w:w="5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9205139">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路内车位数（划线）</w:t>
            </w:r>
          </w:p>
        </w:tc>
        <w:tc>
          <w:tcPr>
            <w:tcW w:w="566"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EB641F2">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路牙上（商铺门口区域）车位数</w:t>
            </w: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1A0818">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小区位置</w:t>
            </w: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F5779">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车位数量</w:t>
            </w: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AEAE1F">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拥有车辆数</w:t>
            </w:r>
          </w:p>
        </w:tc>
        <w:tc>
          <w:tcPr>
            <w:tcW w:w="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2E8641F">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所在村居</w:t>
            </w:r>
          </w:p>
        </w:tc>
        <w:tc>
          <w:tcPr>
            <w:tcW w:w="38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895BE9E">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所在位置</w:t>
            </w:r>
          </w:p>
        </w:tc>
        <w:tc>
          <w:tcPr>
            <w:tcW w:w="4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3807AD9">
            <w:pPr>
              <w:keepNext w:val="0"/>
              <w:keepLines w:val="0"/>
              <w:pageBreakBefore w:val="0"/>
              <w:widowControl/>
              <w:kinsoku/>
              <w:wordWrap/>
              <w:overflowPunct/>
              <w:topLinePunct w:val="0"/>
              <w:autoSpaceDE/>
              <w:autoSpaceDN/>
              <w:bidi w:val="0"/>
              <w:adjustRightInd/>
              <w:snapToGrid/>
              <w:spacing w:line="0" w:lineRule="atLeast"/>
              <w:jc w:val="center"/>
              <w:textAlignment w:val="center"/>
              <w:rPr>
                <w:rFonts w:hint="default" w:ascii="Times New Roman" w:hAnsi="Times New Roman" w:eastAsia="方正仿宋_GBK" w:cs="Times New Roman"/>
                <w:snapToGrid/>
                <w:color w:val="000000"/>
                <w:kern w:val="2"/>
                <w:sz w:val="24"/>
                <w:szCs w:val="24"/>
                <w:lang w:val="en-US" w:eastAsia="zh-CN" w:bidi="ar-SA"/>
              </w:rPr>
            </w:pPr>
            <w:r>
              <w:rPr>
                <w:rFonts w:hint="default" w:ascii="Times New Roman" w:hAnsi="Times New Roman" w:eastAsia="方正仿宋_GBK" w:cs="Times New Roman"/>
                <w:snapToGrid/>
                <w:color w:val="000000"/>
                <w:kern w:val="0"/>
                <w:sz w:val="24"/>
                <w:szCs w:val="24"/>
                <w:lang w:val="en-US" w:eastAsia="zh-CN" w:bidi="ar"/>
              </w:rPr>
              <w:t>面积（平方米）</w:t>
            </w:r>
          </w:p>
        </w:tc>
        <w:tc>
          <w:tcPr>
            <w:tcW w:w="517"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3062CFF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color w:val="000000"/>
                <w:kern w:val="2"/>
                <w:sz w:val="32"/>
                <w:szCs w:val="32"/>
                <w:lang w:val="en-US" w:eastAsia="zh-CN" w:bidi="ar-SA"/>
              </w:rPr>
            </w:pPr>
          </w:p>
        </w:tc>
        <w:tc>
          <w:tcPr>
            <w:tcW w:w="583" w:type="dxa"/>
            <w:tcBorders>
              <w:top w:val="single" w:color="000000" w:sz="4" w:space="0"/>
              <w:left w:val="single" w:color="000000" w:sz="4" w:space="0"/>
              <w:right w:val="single" w:color="000000" w:sz="4" w:space="0"/>
            </w:tcBorders>
            <w:noWrap w:val="0"/>
            <w:tcMar>
              <w:top w:w="15" w:type="dxa"/>
              <w:left w:w="15" w:type="dxa"/>
              <w:right w:w="15" w:type="dxa"/>
            </w:tcMar>
            <w:vAlign w:val="center"/>
          </w:tcPr>
          <w:p w14:paraId="51A9C7E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color w:val="000000"/>
                <w:kern w:val="2"/>
                <w:sz w:val="32"/>
                <w:szCs w:val="32"/>
                <w:lang w:val="en-US" w:eastAsia="zh-CN" w:bidi="ar-SA"/>
              </w:rPr>
            </w:pPr>
          </w:p>
        </w:tc>
        <w:tc>
          <w:tcPr>
            <w:tcW w:w="617" w:type="dxa"/>
            <w:tcBorders>
              <w:top w:val="single" w:color="000000" w:sz="4" w:space="0"/>
              <w:left w:val="single" w:color="000000" w:sz="4" w:space="0"/>
              <w:right w:val="single" w:color="000000" w:sz="4" w:space="0"/>
            </w:tcBorders>
            <w:noWrap/>
            <w:tcMar>
              <w:top w:w="15" w:type="dxa"/>
              <w:left w:w="15" w:type="dxa"/>
              <w:right w:w="15" w:type="dxa"/>
            </w:tcMar>
            <w:vAlign w:val="center"/>
          </w:tcPr>
          <w:p w14:paraId="5804BEB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33" w:type="dxa"/>
            <w:tcBorders>
              <w:top w:val="single" w:color="000000" w:sz="4" w:space="0"/>
              <w:left w:val="single" w:color="000000" w:sz="4" w:space="0"/>
              <w:right w:val="single" w:color="000000" w:sz="4" w:space="0"/>
            </w:tcBorders>
            <w:noWrap/>
            <w:tcMar>
              <w:top w:w="15" w:type="dxa"/>
              <w:left w:w="15" w:type="dxa"/>
              <w:right w:w="15" w:type="dxa"/>
            </w:tcMar>
            <w:vAlign w:val="center"/>
          </w:tcPr>
          <w:p w14:paraId="324CDF9C">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34" w:type="dxa"/>
            <w:tcBorders>
              <w:top w:val="single" w:color="000000" w:sz="4" w:space="0"/>
              <w:left w:val="single" w:color="000000" w:sz="4" w:space="0"/>
              <w:right w:val="single" w:color="000000" w:sz="4" w:space="0"/>
            </w:tcBorders>
            <w:noWrap/>
            <w:tcMar>
              <w:top w:w="15" w:type="dxa"/>
              <w:left w:w="15" w:type="dxa"/>
              <w:right w:w="15" w:type="dxa"/>
            </w:tcMar>
            <w:vAlign w:val="center"/>
          </w:tcPr>
          <w:p w14:paraId="08826414">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仿宋_GBK" w:cs="Times New Roman"/>
                <w:snapToGrid/>
                <w:color w:val="000000"/>
                <w:kern w:val="2"/>
                <w:sz w:val="24"/>
                <w:szCs w:val="24"/>
                <w:lang w:val="en-US" w:eastAsia="zh-CN" w:bidi="ar-SA"/>
              </w:rPr>
            </w:pPr>
          </w:p>
        </w:tc>
      </w:tr>
      <w:tr w14:paraId="0FFE34C3">
        <w:tblPrEx>
          <w:tblCellMar>
            <w:top w:w="0" w:type="dxa"/>
            <w:left w:w="0" w:type="dxa"/>
            <w:bottom w:w="0" w:type="dxa"/>
            <w:right w:w="0" w:type="dxa"/>
          </w:tblCellMar>
        </w:tblPrEx>
        <w:trPr>
          <w:trHeight w:val="313" w:hRule="atLeast"/>
        </w:trPr>
        <w:tc>
          <w:tcPr>
            <w:tcW w:w="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B864CF">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4104A9">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150E2C">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9BF993">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9FC9A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D1546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ED54D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D372D8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0BA248">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7E20E4C">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5CF6C8">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23DE3B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F52F08">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EBA00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051CA3">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2957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9D686B9">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DEE0573">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032088B">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5DE73A7">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802B6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r>
      <w:tr w14:paraId="7E67FFB2">
        <w:tblPrEx>
          <w:tblCellMar>
            <w:top w:w="0" w:type="dxa"/>
            <w:left w:w="0" w:type="dxa"/>
            <w:bottom w:w="0" w:type="dxa"/>
            <w:right w:w="0" w:type="dxa"/>
          </w:tblCellMar>
        </w:tblPrEx>
        <w:trPr>
          <w:trHeight w:val="313" w:hRule="atLeast"/>
        </w:trPr>
        <w:tc>
          <w:tcPr>
            <w:tcW w:w="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5E198D">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44E8B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A2406F">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8E363">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73D64">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C39FCF">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AEAB9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72D4B7">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EB33CD7">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4DB96B">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A03FDD">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DDD725">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F499E3">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0DD2B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37632D">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8186B7">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3167F43">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A6A087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087BA0">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51C22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ADEF9AF">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r>
      <w:tr w14:paraId="6536A8D2">
        <w:tblPrEx>
          <w:tblCellMar>
            <w:top w:w="0" w:type="dxa"/>
            <w:left w:w="0" w:type="dxa"/>
            <w:bottom w:w="0" w:type="dxa"/>
            <w:right w:w="0" w:type="dxa"/>
          </w:tblCellMar>
        </w:tblPrEx>
        <w:trPr>
          <w:trHeight w:val="313" w:hRule="atLeast"/>
        </w:trPr>
        <w:tc>
          <w:tcPr>
            <w:tcW w:w="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583CC4">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1CE844">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609E404">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1D8D1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28F8A55">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BA8F0D">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018D8D">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34B9C">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FD5734">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86A8E0">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728CF1E">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0B45F94">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E0AF0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E9BCE37">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08D235">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112B3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BAB0B73">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467BA8">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AE72A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EF83D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09055E">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r>
      <w:tr w14:paraId="774C9FBD">
        <w:tblPrEx>
          <w:tblCellMar>
            <w:top w:w="0" w:type="dxa"/>
            <w:left w:w="0" w:type="dxa"/>
            <w:bottom w:w="0" w:type="dxa"/>
            <w:right w:w="0" w:type="dxa"/>
          </w:tblCellMar>
        </w:tblPrEx>
        <w:trPr>
          <w:trHeight w:val="313" w:hRule="atLeast"/>
        </w:trPr>
        <w:tc>
          <w:tcPr>
            <w:tcW w:w="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C4C1B3">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4CED23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13AC9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C46A0F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7D7660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178B16">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65E476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55ECC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3CCA26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1FBC6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324834B">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DF3FF5">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2F0E7B4">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7EB5C4">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0AB5C8">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DA0B04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790C70F">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F25D98">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C0BF6CC">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7D7F27">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D41464">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r>
      <w:tr w14:paraId="7A7DAFB1">
        <w:tblPrEx>
          <w:tblCellMar>
            <w:top w:w="0" w:type="dxa"/>
            <w:left w:w="0" w:type="dxa"/>
            <w:bottom w:w="0" w:type="dxa"/>
            <w:right w:w="0" w:type="dxa"/>
          </w:tblCellMar>
        </w:tblPrEx>
        <w:trPr>
          <w:trHeight w:val="323" w:hRule="atLeast"/>
        </w:trPr>
        <w:tc>
          <w:tcPr>
            <w:tcW w:w="27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FC2AF6C">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F9029B">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5F1F2AF">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9EB972">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2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E1778C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970E96B">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8C98B1A">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66FAD5C">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AE18D6">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66"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C9EADF0">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602CB0">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6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F4FB9">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DD4FF9">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3C0C09">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3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62A89A9">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0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230AA6">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A47E5F">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8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E13869">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61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B2A698">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533"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DCD9DB1">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c>
          <w:tcPr>
            <w:tcW w:w="43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9C7EBF">
            <w:pPr>
              <w:keepNext w:val="0"/>
              <w:keepLines w:val="0"/>
              <w:pageBreakBefore w:val="0"/>
              <w:widowControl w:val="0"/>
              <w:kinsoku/>
              <w:wordWrap/>
              <w:overflowPunct/>
              <w:topLinePunct w:val="0"/>
              <w:autoSpaceDE/>
              <w:autoSpaceDN/>
              <w:bidi w:val="0"/>
              <w:adjustRightInd/>
              <w:snapToGrid/>
              <w:spacing w:line="0" w:lineRule="atLeast"/>
              <w:jc w:val="both"/>
              <w:textAlignment w:val="auto"/>
              <w:rPr>
                <w:rFonts w:hint="default" w:ascii="Times New Roman" w:hAnsi="Times New Roman" w:eastAsia="方正仿宋_GBK" w:cs="Times New Roman"/>
                <w:snapToGrid/>
                <w:color w:val="000000"/>
                <w:kern w:val="2"/>
                <w:sz w:val="24"/>
                <w:szCs w:val="24"/>
                <w:lang w:val="en-US" w:eastAsia="zh-CN" w:bidi="ar-SA"/>
              </w:rPr>
            </w:pPr>
          </w:p>
        </w:tc>
      </w:tr>
    </w:tbl>
    <w:p w14:paraId="6074FFB8">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b/>
          <w:bCs/>
          <w:snapToGrid/>
          <w:kern w:val="0"/>
          <w:sz w:val="32"/>
          <w:szCs w:val="32"/>
          <w:shd w:val="clear" w:color="auto" w:fill="FFFFFF"/>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p>
    <w:p w14:paraId="0F5D904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附件10</w:t>
      </w:r>
    </w:p>
    <w:p w14:paraId="01DC092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p>
    <w:p w14:paraId="7AFBFC67">
      <w:pPr>
        <w:keepNext w:val="0"/>
        <w:keepLines w:val="0"/>
        <w:pageBreakBefore w:val="0"/>
        <w:widowControl w:val="0"/>
        <w:kinsoku/>
        <w:wordWrap/>
        <w:overflowPunct/>
        <w:topLinePunct w:val="0"/>
        <w:autoSpaceDE/>
        <w:autoSpaceDN/>
        <w:bidi w:val="0"/>
        <w:adjustRightInd/>
        <w:snapToGrid/>
        <w:spacing w:line="590" w:lineRule="exact"/>
        <w:ind w:firstLine="880" w:firstLineChars="200"/>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龙子湖区放心家政行动方案</w:t>
      </w:r>
    </w:p>
    <w:p w14:paraId="353DD526">
      <w:pPr>
        <w:keepNext w:val="0"/>
        <w:keepLines w:val="0"/>
        <w:pageBreakBefore w:val="0"/>
        <w:widowControl w:val="0"/>
        <w:kinsoku/>
        <w:wordWrap/>
        <w:overflowPunct/>
        <w:topLinePunct w:val="0"/>
        <w:autoSpaceDE/>
        <w:autoSpaceDN/>
        <w:bidi w:val="0"/>
        <w:adjustRightInd/>
        <w:snapToGrid/>
        <w:spacing w:line="590" w:lineRule="exact"/>
        <w:ind w:firstLine="880" w:firstLineChars="200"/>
        <w:jc w:val="center"/>
        <w:textAlignment w:val="auto"/>
        <w:rPr>
          <w:rFonts w:hint="default" w:ascii="Times New Roman" w:hAnsi="Times New Roman" w:eastAsia="方正小标宋_GBK" w:cs="Times New Roman"/>
          <w:snapToGrid/>
          <w:kern w:val="2"/>
          <w:sz w:val="44"/>
          <w:szCs w:val="44"/>
          <w:lang w:val="en-US" w:eastAsia="zh-CN" w:bidi="ar-SA"/>
        </w:rPr>
      </w:pPr>
    </w:p>
    <w:p w14:paraId="448179A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为进一步提高家政服务质量、扩大家政服务有效供给、解决家政服务消费不省心等问题，贯彻落实《蚌埠市放心家政行动方案》文件精神，提升家政人员素质，培育龙头企业，特制定本方案。</w:t>
      </w:r>
    </w:p>
    <w:p w14:paraId="7B62CA76">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一、目标任务</w:t>
      </w:r>
    </w:p>
    <w:p w14:paraId="3F1C8C64">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楷体_GB2312"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（一）总体目标</w:t>
      </w:r>
    </w:p>
    <w:p w14:paraId="4273510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到2025年，全区家政服务人员职业道德和技能水平明显提升，力争新增家政服务人员1808人；培训家政服务人员6805人次以上；家政服务人员培训率达100%，实现家政服务实训能力应培尽培；家政服务行业专业化程度大幅提高，员工制家政服务企业延伸覆盖全区；推动家政品牌企业做大做强，培育中小家政企业发展壮大；诚实守信成为家政服务行业共识，依托商务部家政服务业信息管理平台推动家政企业和从业人员信用信息实现全量归集，“一人一码（牌）”全面推行，市民更加方便享受优质家政服务。</w:t>
      </w:r>
    </w:p>
    <w:p w14:paraId="698062E9">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（二）阶段目标</w:t>
      </w:r>
    </w:p>
    <w:p w14:paraId="10D5E31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整合全区家政培训资源，发挥行业培训机构孵化培育功能：2022年，培训家政服务人员2274人次；提档升级3家员工制家政服务企业，推进中介制家政服务企业规范转型，提高员工制家政服务企业覆盖率；推行“一人一码（牌）”，建立家政服务企业和家政服务人员星级评价制度，遴选2家优秀家政服务业、10名优秀家政服务人员。</w:t>
      </w:r>
    </w:p>
    <w:p w14:paraId="5B26767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2023年，培训家政服务人员2490人次；员工制家政服务企业覆盖率100%；继续推进“一人一码（牌）”，完善家政服务业企业和家政服务人员星级评定办法；遴选2家优秀家政服务企业、10名优秀家政服务人员。</w:t>
      </w:r>
    </w:p>
    <w:p w14:paraId="42DEDB0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2024—2025年，巩固提升工作成效，每年遴选2家优秀家政服务企业、10名优秀家政服务人员。</w:t>
      </w:r>
    </w:p>
    <w:p w14:paraId="6F95A6BF">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二、重点工作任务</w:t>
      </w:r>
    </w:p>
    <w:p w14:paraId="442B8730">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（一）着力摸排企业底数</w:t>
      </w:r>
    </w:p>
    <w:p w14:paraId="59EA161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核实家政企业名录。加强对家政基本单位的梳理，分乡街明确辖区所属家政企业公司性质、内部员工情况、培训情况等信息，确保名录册真实完整。组织开展单位清查核实工作，确保摸排工作落地落</w:t>
      </w:r>
      <w:r>
        <w:rPr>
          <w:rFonts w:hint="default" w:ascii="Times New Roman" w:hAnsi="Times New Roman" w:eastAsia="方正仿宋_GBK" w:cs="Times New Roman"/>
          <w:b w:val="0"/>
          <w:bCs w:val="0"/>
          <w:snapToGrid/>
          <w:kern w:val="2"/>
          <w:sz w:val="32"/>
          <w:szCs w:val="32"/>
          <w:lang w:val="en-US" w:eastAsia="zh-CN" w:bidi="ar-SA"/>
        </w:rPr>
        <w:t>实。</w:t>
      </w:r>
      <w:r>
        <w:rPr>
          <w:rFonts w:hint="default" w:ascii="Times New Roman" w:hAnsi="Times New Roman" w:eastAsia="方正楷体_GBK" w:cs="Times New Roman"/>
          <w:b w:val="0"/>
          <w:bCs w:val="0"/>
          <w:snapToGrid/>
          <w:kern w:val="2"/>
          <w:sz w:val="32"/>
          <w:szCs w:val="32"/>
          <w:lang w:val="en-US" w:eastAsia="zh-CN" w:bidi="ar-SA"/>
        </w:rPr>
        <w:t>（李楼乡人民政府、各街道办事处）</w:t>
      </w:r>
    </w:p>
    <w:p w14:paraId="56BBE933">
      <w:pPr>
        <w:keepNext w:val="0"/>
        <w:keepLines w:val="0"/>
        <w:pageBreakBefore w:val="0"/>
        <w:widowControl w:val="0"/>
        <w:kinsoku/>
        <w:wordWrap/>
        <w:overflowPunct/>
        <w:topLinePunct w:val="0"/>
        <w:autoSpaceDE/>
        <w:autoSpaceDN/>
        <w:bidi w:val="0"/>
        <w:adjustRightInd/>
        <w:spacing w:line="590" w:lineRule="exact"/>
        <w:ind w:firstLine="640" w:firstLineChars="200"/>
        <w:jc w:val="both"/>
        <w:textAlignment w:val="baseline"/>
        <w:rPr>
          <w:rFonts w:hint="default" w:ascii="Times New Roman" w:hAnsi="Times New Roman" w:eastAsia="方正楷体_GBK" w:cs="Times New Roman"/>
          <w:b w:val="0"/>
          <w:bCs w:val="0"/>
          <w:kern w:val="2"/>
          <w:sz w:val="32"/>
          <w:szCs w:val="32"/>
          <w:lang w:val="en-US" w:eastAsia="zh-CN" w:bidi="ar-SA"/>
        </w:rPr>
      </w:pPr>
      <w:r>
        <w:rPr>
          <w:rFonts w:hint="default" w:ascii="Times New Roman" w:hAnsi="Times New Roman" w:eastAsia="方正楷体_GBK" w:cs="Times New Roman"/>
          <w:b w:val="0"/>
          <w:bCs w:val="0"/>
          <w:kern w:val="2"/>
          <w:sz w:val="32"/>
          <w:szCs w:val="32"/>
          <w:lang w:val="en-US" w:eastAsia="zh-CN" w:bidi="ar-SA"/>
        </w:rPr>
        <w:t>（二）着力提升人员素质</w:t>
      </w:r>
    </w:p>
    <w:p w14:paraId="1A034251">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1.加强职业技能培训。</w:t>
      </w:r>
      <w:r>
        <w:rPr>
          <w:rFonts w:hint="default" w:ascii="Times New Roman" w:hAnsi="Times New Roman" w:eastAsia="方正仿宋_GBK" w:cs="Times New Roman"/>
          <w:b w:val="0"/>
          <w:bCs w:val="0"/>
          <w:snapToGrid/>
          <w:kern w:val="2"/>
          <w:sz w:val="32"/>
          <w:szCs w:val="32"/>
          <w:lang w:val="en-US" w:eastAsia="zh-CN" w:bidi="ar-SA"/>
        </w:rPr>
        <w:t>压实家政服务企业培训主体责任，将提高职业道德作为培训的必需内容，指导督促家政服务企业对新上岗家政服务人员开展以家政服务通识为主的岗前培训。统筹抓好职业技能提升行动和技能培训促就业行动，多渠道多形式开展以提升职业道德、服务技能为主要内容的“回炉”培训。推动岗前培训与就业挂钩、“回炉”培训与技能等级认定挂钩。2022年岗前培训达到910人以上、“回炉”培训人次达到1361人次以上，2023年岗前培训达到450人以上、“回炉”培训人次达到2038人次以上，2025年完成目标任务。</w:t>
      </w:r>
      <w:r>
        <w:rPr>
          <w:rFonts w:hint="default" w:ascii="Times New Roman" w:hAnsi="Times New Roman" w:eastAsia="方正楷体_GBK" w:cs="Times New Roman"/>
          <w:b w:val="0"/>
          <w:bCs w:val="0"/>
          <w:snapToGrid/>
          <w:kern w:val="2"/>
          <w:sz w:val="32"/>
          <w:szCs w:val="32"/>
          <w:lang w:val="en-US" w:eastAsia="zh-CN" w:bidi="ar-SA"/>
        </w:rPr>
        <w:t>（区商务外事局、李楼乡人民政府、各街道办事处、区</w:t>
      </w:r>
      <w:r>
        <w:rPr>
          <w:rFonts w:hint="eastAsia" w:ascii="Times New Roman" w:hAnsi="Times New Roman" w:eastAsia="方正楷体_GBK" w:cs="Times New Roman"/>
          <w:b w:val="0"/>
          <w:bCs w:val="0"/>
          <w:snapToGrid/>
          <w:kern w:val="2"/>
          <w:sz w:val="32"/>
          <w:szCs w:val="32"/>
          <w:lang w:val="en-US" w:eastAsia="zh-CN" w:bidi="ar-SA"/>
        </w:rPr>
        <w:t>人力资源和社会保障局</w:t>
      </w:r>
      <w:r>
        <w:rPr>
          <w:rFonts w:hint="default" w:ascii="Times New Roman" w:hAnsi="Times New Roman" w:eastAsia="方正楷体_GBK" w:cs="Times New Roman"/>
          <w:b w:val="0"/>
          <w:bCs w:val="0"/>
          <w:snapToGrid/>
          <w:kern w:val="2"/>
          <w:sz w:val="32"/>
          <w:szCs w:val="32"/>
          <w:lang w:val="en-US" w:eastAsia="zh-CN" w:bidi="ar-SA"/>
        </w:rPr>
        <w:t>、区总工会、区妇联）</w:t>
      </w:r>
    </w:p>
    <w:p w14:paraId="13BB76CF">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2.开展职能等级认定。</w:t>
      </w:r>
      <w:r>
        <w:rPr>
          <w:rFonts w:hint="default" w:ascii="Times New Roman" w:hAnsi="Times New Roman" w:eastAsia="方正仿宋_GBK" w:cs="Times New Roman"/>
          <w:b w:val="0"/>
          <w:bCs w:val="0"/>
          <w:snapToGrid/>
          <w:kern w:val="2"/>
          <w:sz w:val="32"/>
          <w:szCs w:val="32"/>
          <w:lang w:val="en-US" w:eastAsia="zh-CN" w:bidi="ar-SA"/>
        </w:rPr>
        <w:t>推动家政服务企业积极与开设家政相关专业的院校开展合作，组织院校教师和家政服务企业双向实践、推广实施“学历证书+若干职业技能等级证书”制度、研发创新服务项目等。健全完善新时代技能人才职业技能等级制度，积极推进家政服务人员职业技能等级认定，畅通家政服务人员技能成长发展路径。2022年继续实施，持续推进。</w:t>
      </w:r>
      <w:r>
        <w:rPr>
          <w:rFonts w:hint="default" w:ascii="Times New Roman" w:hAnsi="Times New Roman" w:eastAsia="方正楷体_GBK" w:cs="Times New Roman"/>
          <w:b w:val="0"/>
          <w:bCs w:val="0"/>
          <w:snapToGrid/>
          <w:kern w:val="2"/>
          <w:sz w:val="32"/>
          <w:szCs w:val="32"/>
          <w:lang w:val="en-US" w:eastAsia="zh-CN" w:bidi="ar-SA"/>
        </w:rPr>
        <w:t>（区人力资源</w:t>
      </w:r>
      <w:r>
        <w:rPr>
          <w:rFonts w:hint="eastAsia" w:ascii="Times New Roman" w:hAnsi="Times New Roman" w:eastAsia="方正楷体_GBK" w:cs="Times New Roman"/>
          <w:b w:val="0"/>
          <w:bCs w:val="0"/>
          <w:snapToGrid/>
          <w:kern w:val="2"/>
          <w:sz w:val="32"/>
          <w:szCs w:val="32"/>
          <w:lang w:val="en-US" w:eastAsia="zh-CN" w:bidi="ar-SA"/>
        </w:rPr>
        <w:t>和</w:t>
      </w:r>
      <w:r>
        <w:rPr>
          <w:rFonts w:hint="default" w:ascii="Times New Roman" w:hAnsi="Times New Roman" w:eastAsia="方正楷体_GBK" w:cs="Times New Roman"/>
          <w:b w:val="0"/>
          <w:bCs w:val="0"/>
          <w:snapToGrid/>
          <w:kern w:val="2"/>
          <w:sz w:val="32"/>
          <w:szCs w:val="32"/>
          <w:lang w:val="en-US" w:eastAsia="zh-CN" w:bidi="ar-SA"/>
        </w:rPr>
        <w:t>社会保障局、区发展改革委员会、区教育体育局）</w:t>
      </w:r>
    </w:p>
    <w:p w14:paraId="4C987352">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3.打造产教融合基地。</w:t>
      </w:r>
      <w:r>
        <w:rPr>
          <w:rFonts w:hint="default" w:ascii="Times New Roman" w:hAnsi="Times New Roman" w:eastAsia="方正仿宋_GBK" w:cs="Times New Roman"/>
          <w:b w:val="0"/>
          <w:bCs w:val="0"/>
          <w:snapToGrid/>
          <w:kern w:val="2"/>
          <w:sz w:val="32"/>
          <w:szCs w:val="32"/>
          <w:lang w:val="en-US" w:eastAsia="zh-CN" w:bidi="ar-SA"/>
        </w:rPr>
        <w:t>探索开展“政府+院校+龙头家政服务企业”三位一体培训基地模式，联合开展订单和定向式人才培养和技能培训，打造一批政校合作项目和家政培训基地。2022年继续实施，持续推进。</w:t>
      </w:r>
      <w:r>
        <w:rPr>
          <w:rFonts w:hint="default" w:ascii="Times New Roman" w:hAnsi="Times New Roman" w:eastAsia="方正楷体_GBK" w:cs="Times New Roman"/>
          <w:b w:val="0"/>
          <w:bCs w:val="0"/>
          <w:snapToGrid/>
          <w:kern w:val="2"/>
          <w:sz w:val="32"/>
          <w:szCs w:val="32"/>
          <w:lang w:val="en-US" w:eastAsia="zh-CN" w:bidi="ar-SA"/>
        </w:rPr>
        <w:t>（区</w:t>
      </w:r>
      <w:r>
        <w:rPr>
          <w:rFonts w:hint="eastAsia" w:ascii="Times New Roman" w:hAnsi="Times New Roman" w:eastAsia="方正楷体_GBK" w:cs="Times New Roman"/>
          <w:b w:val="0"/>
          <w:bCs w:val="0"/>
          <w:snapToGrid/>
          <w:kern w:val="2"/>
          <w:sz w:val="32"/>
          <w:szCs w:val="32"/>
          <w:lang w:val="en-US" w:eastAsia="zh-CN" w:bidi="ar-SA"/>
        </w:rPr>
        <w:t>人力资源和社会保障局</w:t>
      </w:r>
      <w:r>
        <w:rPr>
          <w:rFonts w:hint="default" w:ascii="Times New Roman" w:hAnsi="Times New Roman" w:eastAsia="方正楷体_GBK" w:cs="Times New Roman"/>
          <w:b w:val="0"/>
          <w:bCs w:val="0"/>
          <w:snapToGrid/>
          <w:kern w:val="2"/>
          <w:sz w:val="32"/>
          <w:szCs w:val="32"/>
          <w:lang w:val="en-US" w:eastAsia="zh-CN" w:bidi="ar-SA"/>
        </w:rPr>
        <w:t>、区发展改革委员会、区教育体育局）</w:t>
      </w:r>
    </w:p>
    <w:p w14:paraId="3F8BDA39">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4.组织开展技能竞赛。</w:t>
      </w:r>
      <w:r>
        <w:rPr>
          <w:rFonts w:hint="default" w:ascii="Times New Roman" w:hAnsi="Times New Roman" w:eastAsia="方正仿宋_GBK" w:cs="Times New Roman"/>
          <w:b w:val="0"/>
          <w:bCs w:val="0"/>
          <w:snapToGrid/>
          <w:kern w:val="2"/>
          <w:sz w:val="32"/>
          <w:szCs w:val="32"/>
          <w:lang w:val="en-US" w:eastAsia="zh-CN" w:bidi="ar-SA"/>
        </w:rPr>
        <w:t>组织人员参加全市家政服务技能竞赛，树立行业典型，展示行业风采，对符合条件的获奖人员，择优推荐参加五一劳动奖章、金牌职工、技术能手、五一巾帼标兵、三八红旗手（集体）、青年岗位能手等评选，提升家政服务人员的职业归属感和荣誉感。2022年继续实施，持续推进。</w:t>
      </w:r>
      <w:r>
        <w:rPr>
          <w:rFonts w:hint="default" w:ascii="Times New Roman" w:hAnsi="Times New Roman" w:eastAsia="方正楷体_GBK" w:cs="Times New Roman"/>
          <w:b w:val="0"/>
          <w:bCs w:val="0"/>
          <w:snapToGrid/>
          <w:kern w:val="2"/>
          <w:sz w:val="32"/>
          <w:szCs w:val="32"/>
          <w:lang w:val="en-US" w:eastAsia="zh-CN" w:bidi="ar-SA"/>
        </w:rPr>
        <w:t>（区商务外事局、李楼乡人民政府、各街道办事处、区</w:t>
      </w:r>
      <w:r>
        <w:rPr>
          <w:rFonts w:hint="eastAsia" w:ascii="Times New Roman" w:hAnsi="Times New Roman" w:eastAsia="方正楷体_GBK" w:cs="Times New Roman"/>
          <w:b w:val="0"/>
          <w:bCs w:val="0"/>
          <w:snapToGrid/>
          <w:kern w:val="2"/>
          <w:sz w:val="32"/>
          <w:szCs w:val="32"/>
          <w:lang w:val="en-US" w:eastAsia="zh-CN" w:bidi="ar-SA"/>
        </w:rPr>
        <w:t>人力资源和社会保障局</w:t>
      </w:r>
      <w:r>
        <w:rPr>
          <w:rFonts w:hint="default" w:ascii="Times New Roman" w:hAnsi="Times New Roman" w:eastAsia="方正楷体_GBK" w:cs="Times New Roman"/>
          <w:b w:val="0"/>
          <w:bCs w:val="0"/>
          <w:snapToGrid/>
          <w:kern w:val="2"/>
          <w:sz w:val="32"/>
          <w:szCs w:val="32"/>
          <w:lang w:val="en-US" w:eastAsia="zh-CN" w:bidi="ar-SA"/>
        </w:rPr>
        <w:t>、区总工会、区妇联）</w:t>
      </w:r>
    </w:p>
    <w:p w14:paraId="07B648B3">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（三）着力引育市场主体</w:t>
      </w:r>
    </w:p>
    <w:p w14:paraId="1B4B8C2D">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1.招引一批龙头企业。</w:t>
      </w:r>
      <w:r>
        <w:rPr>
          <w:rFonts w:hint="default" w:ascii="Times New Roman" w:hAnsi="Times New Roman" w:eastAsia="方正仿宋_GBK" w:cs="Times New Roman"/>
          <w:b w:val="0"/>
          <w:bCs w:val="0"/>
          <w:snapToGrid/>
          <w:kern w:val="2"/>
          <w:sz w:val="32"/>
          <w:szCs w:val="32"/>
          <w:lang w:val="en-US" w:eastAsia="zh-CN" w:bidi="ar-SA"/>
        </w:rPr>
        <w:t>争取招引一批创新能力强、成长性好的家政企业与有农村富余劳动力的乡街结对，到我区投资开设家政服务网点。落实家政兴农行动计划，巩固拓展脱贫攻坚成果同乡村振兴</w:t>
      </w:r>
      <w:r>
        <w:rPr>
          <w:rFonts w:hint="eastAsia" w:ascii="Times New Roman" w:hAnsi="Times New Roman" w:eastAsia="方正仿宋_GBK" w:cs="Times New Roman"/>
          <w:b w:val="0"/>
          <w:bCs w:val="0"/>
          <w:snapToGrid/>
          <w:kern w:val="2"/>
          <w:sz w:val="32"/>
          <w:szCs w:val="32"/>
          <w:lang w:val="en-US" w:eastAsia="zh-CN" w:bidi="ar-SA"/>
        </w:rPr>
        <w:t>有效</w:t>
      </w:r>
      <w:r>
        <w:rPr>
          <w:rFonts w:hint="default" w:ascii="Times New Roman" w:hAnsi="Times New Roman" w:eastAsia="方正仿宋_GBK" w:cs="Times New Roman"/>
          <w:b w:val="0"/>
          <w:bCs w:val="0"/>
          <w:snapToGrid/>
          <w:kern w:val="2"/>
          <w:sz w:val="32"/>
          <w:szCs w:val="32"/>
          <w:lang w:val="en-US" w:eastAsia="zh-CN" w:bidi="ar-SA"/>
        </w:rPr>
        <w:t>衔接，有效提升家政服务业吸纳劳动力就业成效。</w:t>
      </w:r>
      <w:r>
        <w:rPr>
          <w:rFonts w:hint="default" w:ascii="Times New Roman" w:hAnsi="Times New Roman" w:eastAsia="方正楷体_GBK" w:cs="Times New Roman"/>
          <w:b w:val="0"/>
          <w:bCs w:val="0"/>
          <w:snapToGrid/>
          <w:kern w:val="2"/>
          <w:sz w:val="32"/>
          <w:szCs w:val="32"/>
          <w:lang w:val="en-US" w:eastAsia="zh-CN" w:bidi="ar-SA"/>
        </w:rPr>
        <w:t>（区商务外事局、区发展改革委员会、区</w:t>
      </w:r>
      <w:r>
        <w:rPr>
          <w:rFonts w:hint="eastAsia" w:ascii="Times New Roman" w:hAnsi="Times New Roman" w:eastAsia="方正楷体_GBK" w:cs="Times New Roman"/>
          <w:b w:val="0"/>
          <w:bCs w:val="0"/>
          <w:snapToGrid/>
          <w:kern w:val="2"/>
          <w:sz w:val="32"/>
          <w:szCs w:val="32"/>
          <w:lang w:val="en-US" w:eastAsia="zh-CN" w:bidi="ar-SA"/>
        </w:rPr>
        <w:t>人力资源和社会保障局</w:t>
      </w:r>
      <w:r>
        <w:rPr>
          <w:rFonts w:hint="default" w:ascii="Times New Roman" w:hAnsi="Times New Roman" w:eastAsia="方正楷体_GBK" w:cs="Times New Roman"/>
          <w:b w:val="0"/>
          <w:bCs w:val="0"/>
          <w:snapToGrid/>
          <w:kern w:val="2"/>
          <w:sz w:val="32"/>
          <w:szCs w:val="32"/>
          <w:lang w:val="en-US" w:eastAsia="zh-CN" w:bidi="ar-SA"/>
        </w:rPr>
        <w:t>、区农业农村水利局）</w:t>
      </w:r>
    </w:p>
    <w:p w14:paraId="255F8073">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2.扶强一批本土企业。</w:t>
      </w:r>
      <w:r>
        <w:rPr>
          <w:rFonts w:hint="default" w:ascii="Times New Roman" w:hAnsi="Times New Roman" w:eastAsia="方正仿宋_GBK" w:cs="Times New Roman"/>
          <w:b w:val="0"/>
          <w:bCs w:val="0"/>
          <w:snapToGrid/>
          <w:kern w:val="2"/>
          <w:sz w:val="32"/>
          <w:szCs w:val="32"/>
          <w:lang w:val="en-US" w:eastAsia="zh-CN" w:bidi="ar-SA"/>
        </w:rPr>
        <w:t>支持现有员工制企业提档升级，通过资本市场融资、品牌打造与输出、特许经营等方式扩大规模，以连锁经营、“互联网+家政”方式拓展服务网络，下沉社区设立服务网点。</w:t>
      </w:r>
      <w:r>
        <w:rPr>
          <w:rFonts w:hint="default" w:ascii="Times New Roman" w:hAnsi="Times New Roman" w:eastAsia="方正楷体_GBK" w:cs="Times New Roman"/>
          <w:b w:val="0"/>
          <w:bCs w:val="0"/>
          <w:snapToGrid/>
          <w:kern w:val="2"/>
          <w:sz w:val="32"/>
          <w:szCs w:val="32"/>
          <w:lang w:val="en-US" w:eastAsia="zh-CN" w:bidi="ar-SA"/>
        </w:rPr>
        <w:t>（区商务外事局、区</w:t>
      </w:r>
      <w:r>
        <w:rPr>
          <w:rFonts w:hint="eastAsia" w:ascii="Times New Roman" w:hAnsi="Times New Roman" w:eastAsia="方正楷体_GBK" w:cs="Times New Roman"/>
          <w:b w:val="0"/>
          <w:bCs w:val="0"/>
          <w:snapToGrid/>
          <w:kern w:val="2"/>
          <w:sz w:val="32"/>
          <w:szCs w:val="32"/>
          <w:lang w:val="en-US" w:eastAsia="zh-CN" w:bidi="ar-SA"/>
        </w:rPr>
        <w:t>人力资源和社会保障局</w:t>
      </w:r>
      <w:r>
        <w:rPr>
          <w:rFonts w:hint="default" w:ascii="Times New Roman" w:hAnsi="Times New Roman" w:eastAsia="方正楷体_GBK" w:cs="Times New Roman"/>
          <w:b w:val="0"/>
          <w:bCs w:val="0"/>
          <w:snapToGrid/>
          <w:kern w:val="2"/>
          <w:sz w:val="32"/>
          <w:szCs w:val="32"/>
          <w:lang w:val="en-US" w:eastAsia="zh-CN" w:bidi="ar-SA"/>
        </w:rPr>
        <w:t>）</w:t>
      </w:r>
    </w:p>
    <w:p w14:paraId="34CA9AF6">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 升级一批中介制企业</w:t>
      </w:r>
      <w:r>
        <w:rPr>
          <w:rFonts w:hint="default" w:ascii="Times New Roman" w:hAnsi="Times New Roman" w:eastAsia="方正仿宋_GBK" w:cs="Times New Roman"/>
          <w:b w:val="0"/>
          <w:bCs w:val="0"/>
          <w:snapToGrid/>
          <w:kern w:val="2"/>
          <w:sz w:val="32"/>
          <w:szCs w:val="32"/>
          <w:lang w:val="en-US" w:eastAsia="zh-CN" w:bidi="ar-SA"/>
        </w:rPr>
        <w:t>。引导中介制企业向员工制企业转型发展，完善一站式家政服务供需对接，实现劳务输出、家政培训、家政孵化+双创、行业交流等多项功能。</w:t>
      </w:r>
      <w:r>
        <w:rPr>
          <w:rFonts w:hint="default" w:ascii="Times New Roman" w:hAnsi="Times New Roman" w:eastAsia="方正楷体_GBK" w:cs="Times New Roman"/>
          <w:b w:val="0"/>
          <w:bCs w:val="0"/>
          <w:snapToGrid/>
          <w:kern w:val="2"/>
          <w:sz w:val="32"/>
          <w:szCs w:val="32"/>
          <w:lang w:val="en-US" w:eastAsia="zh-CN" w:bidi="ar-SA"/>
        </w:rPr>
        <w:t>（区商务外事局、李楼乡人民政府、各街道办事处、区</w:t>
      </w:r>
      <w:r>
        <w:rPr>
          <w:rFonts w:hint="eastAsia" w:ascii="Times New Roman" w:hAnsi="Times New Roman" w:eastAsia="方正楷体_GBK" w:cs="Times New Roman"/>
          <w:b w:val="0"/>
          <w:bCs w:val="0"/>
          <w:snapToGrid/>
          <w:kern w:val="2"/>
          <w:sz w:val="32"/>
          <w:szCs w:val="32"/>
          <w:lang w:val="en-US" w:eastAsia="zh-CN" w:bidi="ar-SA"/>
        </w:rPr>
        <w:t>人力资源和社会保障局</w:t>
      </w:r>
      <w:r>
        <w:rPr>
          <w:rFonts w:hint="default" w:ascii="Times New Roman" w:hAnsi="Times New Roman" w:eastAsia="方正楷体_GBK" w:cs="Times New Roman"/>
          <w:b w:val="0"/>
          <w:bCs w:val="0"/>
          <w:snapToGrid/>
          <w:kern w:val="2"/>
          <w:sz w:val="32"/>
          <w:szCs w:val="32"/>
          <w:lang w:val="en-US" w:eastAsia="zh-CN" w:bidi="ar-SA"/>
        </w:rPr>
        <w:t>）</w:t>
      </w:r>
    </w:p>
    <w:p w14:paraId="5B5D7C4D">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（四）着力强化诚信建设</w:t>
      </w:r>
    </w:p>
    <w:p w14:paraId="5EFB3FB4">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 优化信用信息服务。</w:t>
      </w:r>
      <w:r>
        <w:rPr>
          <w:rFonts w:hint="default" w:ascii="Times New Roman" w:hAnsi="Times New Roman" w:eastAsia="方正仿宋_GBK" w:cs="Times New Roman"/>
          <w:b w:val="0"/>
          <w:bCs w:val="0"/>
          <w:snapToGrid/>
          <w:kern w:val="2"/>
          <w:sz w:val="32"/>
          <w:szCs w:val="32"/>
          <w:lang w:val="en-US" w:eastAsia="zh-CN" w:bidi="ar-SA"/>
        </w:rPr>
        <w:t>依托商务部家政服务信用信息平台全量归集家政服务企业、家政服务人员基础信息和信用信息，推动我区家政服务平台与商务部家政服务信用信息平台、省公共信用信息平台等系统有效对接，并按规定共享可公开的信用信息。2022年继续实施，持续完善。</w:t>
      </w:r>
      <w:r>
        <w:rPr>
          <w:rFonts w:hint="default" w:ascii="Times New Roman" w:hAnsi="Times New Roman" w:eastAsia="方正楷体_GBK" w:cs="Times New Roman"/>
          <w:b w:val="0"/>
          <w:bCs w:val="0"/>
          <w:snapToGrid/>
          <w:kern w:val="2"/>
          <w:sz w:val="32"/>
          <w:szCs w:val="32"/>
          <w:lang w:val="en-US" w:eastAsia="zh-CN" w:bidi="ar-SA"/>
        </w:rPr>
        <w:t>（区商务外事局）</w:t>
      </w:r>
    </w:p>
    <w:p w14:paraId="16599C66">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 建立信用管理制度。</w:t>
      </w:r>
      <w:r>
        <w:rPr>
          <w:rFonts w:hint="default" w:ascii="Times New Roman" w:hAnsi="Times New Roman" w:eastAsia="方正仿宋_GBK" w:cs="Times New Roman"/>
          <w:b w:val="0"/>
          <w:bCs w:val="0"/>
          <w:snapToGrid/>
          <w:kern w:val="2"/>
          <w:sz w:val="32"/>
          <w:szCs w:val="32"/>
          <w:lang w:val="en-US" w:eastAsia="zh-CN" w:bidi="ar-SA"/>
        </w:rPr>
        <w:t>建立家政服务企业、家政服务人员个人信用记录注册、跟踪评价和管理制度。推广家政服务合同示范文本，规范家政服务三方权利和义务关系。明确家政服务项目清单，明码标价服务项目、服务内容。2022年继续实施，持续完善。</w:t>
      </w:r>
      <w:r>
        <w:rPr>
          <w:rFonts w:hint="default" w:ascii="Times New Roman" w:hAnsi="Times New Roman" w:eastAsia="方正楷体_GBK" w:cs="Times New Roman"/>
          <w:b w:val="0"/>
          <w:bCs w:val="0"/>
          <w:snapToGrid/>
          <w:kern w:val="2"/>
          <w:sz w:val="32"/>
          <w:szCs w:val="32"/>
          <w:lang w:val="en-US" w:eastAsia="zh-CN" w:bidi="ar-SA"/>
        </w:rPr>
        <w:t>（区商务外事局、区发展改革委员会）</w:t>
      </w:r>
    </w:p>
    <w:p w14:paraId="41CB7EE2">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 健全标准体系。</w:t>
      </w:r>
      <w:r>
        <w:rPr>
          <w:rFonts w:hint="default" w:ascii="Times New Roman" w:hAnsi="Times New Roman" w:eastAsia="方正仿宋_GBK" w:cs="Times New Roman"/>
          <w:b w:val="0"/>
          <w:bCs w:val="0"/>
          <w:snapToGrid/>
          <w:kern w:val="2"/>
          <w:sz w:val="32"/>
          <w:szCs w:val="32"/>
          <w:lang w:val="en-US" w:eastAsia="zh-CN" w:bidi="ar-SA"/>
        </w:rPr>
        <w:t>鼓励辖区家政服务企业主动与市家政行业协会建立联系，共同在服务质量、服务保障、服务评价等方面研制家政服务地方标准、团体标准和企业标准，开展家政服务标准化试点，提升家政服务标准化水平。2022年继续实施，持续完善。</w:t>
      </w:r>
      <w:r>
        <w:rPr>
          <w:rFonts w:hint="default" w:ascii="Times New Roman" w:hAnsi="Times New Roman" w:eastAsia="方正楷体_GBK" w:cs="Times New Roman"/>
          <w:b w:val="0"/>
          <w:bCs w:val="0"/>
          <w:snapToGrid/>
          <w:kern w:val="2"/>
          <w:sz w:val="32"/>
          <w:szCs w:val="32"/>
          <w:lang w:val="en-US" w:eastAsia="zh-CN" w:bidi="ar-SA"/>
        </w:rPr>
        <w:t>（区市场监管局、区商务外事局）</w:t>
      </w:r>
    </w:p>
    <w:p w14:paraId="1ADB2B58">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4. 大力推行亮码上岗。</w:t>
      </w:r>
      <w:r>
        <w:rPr>
          <w:rFonts w:hint="default" w:ascii="Times New Roman" w:hAnsi="Times New Roman" w:eastAsia="方正仿宋_GBK" w:cs="Times New Roman"/>
          <w:b w:val="0"/>
          <w:bCs w:val="0"/>
          <w:snapToGrid/>
          <w:kern w:val="2"/>
          <w:sz w:val="32"/>
          <w:szCs w:val="32"/>
          <w:lang w:val="en-US" w:eastAsia="zh-CN" w:bidi="ar-SA"/>
        </w:rPr>
        <w:t>建立家政服务人员全员持证上岗模式，由家政服务企业组织家政服务人员在商务部家政服务信用信息平台登记基本信息，家政服务人员须承诺填写信息真实无误并授权征信查询，再经第三方审核，系统对审核通过者自动生成二维码，实行“一人一码（牌）”，实现家政人员上岗“上门亮码（牌）—客户扫码—评价”全流程闭环管理。2022年启动实施，持续推进。</w:t>
      </w:r>
      <w:r>
        <w:rPr>
          <w:rFonts w:hint="default" w:ascii="Times New Roman" w:hAnsi="Times New Roman" w:eastAsia="方正楷体_GBK" w:cs="Times New Roman"/>
          <w:b w:val="0"/>
          <w:bCs w:val="0"/>
          <w:snapToGrid/>
          <w:kern w:val="2"/>
          <w:sz w:val="32"/>
          <w:szCs w:val="32"/>
          <w:lang w:val="en-US" w:eastAsia="zh-CN" w:bidi="ar-SA"/>
        </w:rPr>
        <w:t>（区商务外事局、李楼乡人民政府、各街道办事处）</w:t>
      </w:r>
    </w:p>
    <w:p w14:paraId="4E594A48">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（五）着力推进服务创新</w:t>
      </w:r>
    </w:p>
    <w:p w14:paraId="1E6A49DF">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 引导创新服务模式。</w:t>
      </w:r>
      <w:r>
        <w:rPr>
          <w:rFonts w:hint="default" w:ascii="Times New Roman" w:hAnsi="Times New Roman" w:eastAsia="方正仿宋_GBK" w:cs="Times New Roman"/>
          <w:snapToGrid/>
          <w:kern w:val="2"/>
          <w:sz w:val="32"/>
          <w:szCs w:val="32"/>
          <w:lang w:val="en-US" w:eastAsia="zh-CN" w:bidi="ar-SA"/>
        </w:rPr>
        <w:t>支持有条件的社区探索建立“家政服务超市”。构建“政府+企业+社区服务”社区家政服务新模式，推广“技能培训+推荐就业+家政服务”全链条家政社区服务模式。支持家政企业大力发展家政电子商务，促进线上线下融合发展。2022年开展，持续推进。</w:t>
      </w:r>
      <w:r>
        <w:rPr>
          <w:rFonts w:hint="default" w:ascii="Times New Roman" w:hAnsi="Times New Roman" w:eastAsia="方正楷体_GBK" w:cs="Times New Roman"/>
          <w:b w:val="0"/>
          <w:bCs w:val="0"/>
          <w:snapToGrid/>
          <w:kern w:val="2"/>
          <w:sz w:val="32"/>
          <w:szCs w:val="32"/>
          <w:lang w:val="en-US" w:eastAsia="zh-CN" w:bidi="ar-SA"/>
        </w:rPr>
        <w:t>（区商务外事局、区</w:t>
      </w:r>
      <w:r>
        <w:rPr>
          <w:rFonts w:hint="eastAsia" w:ascii="Times New Roman" w:hAnsi="Times New Roman" w:eastAsia="方正楷体_GBK" w:cs="Times New Roman"/>
          <w:b w:val="0"/>
          <w:bCs w:val="0"/>
          <w:snapToGrid/>
          <w:kern w:val="2"/>
          <w:sz w:val="32"/>
          <w:szCs w:val="32"/>
          <w:lang w:val="en-US" w:eastAsia="zh-CN" w:bidi="ar-SA"/>
        </w:rPr>
        <w:t>人力资源和社会保障局</w:t>
      </w:r>
      <w:r>
        <w:rPr>
          <w:rFonts w:hint="default" w:ascii="Times New Roman" w:hAnsi="Times New Roman" w:eastAsia="方正楷体_GBK" w:cs="Times New Roman"/>
          <w:b w:val="0"/>
          <w:bCs w:val="0"/>
          <w:snapToGrid/>
          <w:kern w:val="2"/>
          <w:sz w:val="32"/>
          <w:szCs w:val="32"/>
          <w:lang w:val="en-US" w:eastAsia="zh-CN" w:bidi="ar-SA"/>
        </w:rPr>
        <w:t>）</w:t>
      </w:r>
    </w:p>
    <w:p w14:paraId="1C8F720E">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 鼓励发展新兴服务。</w:t>
      </w:r>
      <w:r>
        <w:rPr>
          <w:rFonts w:hint="default" w:ascii="Times New Roman" w:hAnsi="Times New Roman" w:eastAsia="方正仿宋_GBK" w:cs="Times New Roman"/>
          <w:snapToGrid/>
          <w:kern w:val="2"/>
          <w:sz w:val="32"/>
          <w:szCs w:val="32"/>
          <w:lang w:val="en-US" w:eastAsia="zh-CN" w:bidi="ar-SA"/>
        </w:rPr>
        <w:t>在抓好一般家政服务、育婴、养老、护理、保洁等传统家政服务提质扩容的同时，鼓励发展管家、理财专家、心理陪护、健康管理等新兴家政服务。支持家政企业引进国内外先进经验和管理模式。2022年开展，持续推进。</w:t>
      </w:r>
      <w:r>
        <w:rPr>
          <w:rFonts w:hint="default" w:ascii="Times New Roman" w:hAnsi="Times New Roman" w:eastAsia="方正楷体_GBK" w:cs="Times New Roman"/>
          <w:b w:val="0"/>
          <w:bCs w:val="0"/>
          <w:snapToGrid/>
          <w:kern w:val="2"/>
          <w:sz w:val="32"/>
          <w:szCs w:val="32"/>
          <w:lang w:val="en-US" w:eastAsia="zh-CN" w:bidi="ar-SA"/>
        </w:rPr>
        <w:t>（区商务外事局、区卫生健康委员会、区民政局）</w:t>
      </w:r>
    </w:p>
    <w:p w14:paraId="20CE1D0D">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三、支持政策</w:t>
      </w:r>
    </w:p>
    <w:p w14:paraId="71BAEA9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（一）落实财政支持政策。</w:t>
      </w:r>
      <w:r>
        <w:rPr>
          <w:rFonts w:hint="default" w:ascii="Times New Roman" w:hAnsi="Times New Roman" w:eastAsia="方正仿宋_GBK" w:cs="Times New Roman"/>
          <w:snapToGrid/>
          <w:kern w:val="2"/>
          <w:sz w:val="32"/>
          <w:szCs w:val="32"/>
          <w:lang w:val="en-US" w:eastAsia="zh-CN" w:bidi="ar-SA"/>
        </w:rPr>
        <w:t>加大筹资力度，使用就业补助资金、地方人才经费和行业产业发展经费等支持家政服务培训。落实员工制家政服务企业按规定享受社会保险补贴、稳岗返还、职业技能培训补贴等政策。对符合条件的吸纳脱贫人口就业的家政服务企业，按规定落实失业保险稳岗返还、培训补贴、社会保险补贴、创业担保贷款及贴息等政策。鼓励家政企业申报省级“优秀家政服务企业”、省级“优秀家政服务人员”，支持企业享受省级政策奖励。2022年开展，持续推进。</w:t>
      </w:r>
      <w:r>
        <w:rPr>
          <w:rFonts w:hint="default" w:ascii="Times New Roman" w:hAnsi="Times New Roman" w:eastAsia="方正楷体_GBK" w:cs="Times New Roman"/>
          <w:b w:val="0"/>
          <w:bCs w:val="0"/>
          <w:snapToGrid/>
          <w:kern w:val="2"/>
          <w:sz w:val="32"/>
          <w:szCs w:val="32"/>
          <w:lang w:val="en-US" w:eastAsia="zh-CN" w:bidi="ar-SA"/>
        </w:rPr>
        <w:t>（区财政局、区</w:t>
      </w:r>
      <w:r>
        <w:rPr>
          <w:rFonts w:hint="eastAsia" w:ascii="Times New Roman" w:hAnsi="Times New Roman" w:eastAsia="方正楷体_GBK" w:cs="Times New Roman"/>
          <w:b w:val="0"/>
          <w:bCs w:val="0"/>
          <w:snapToGrid/>
          <w:kern w:val="2"/>
          <w:sz w:val="32"/>
          <w:szCs w:val="32"/>
          <w:lang w:val="en-US" w:eastAsia="zh-CN" w:bidi="ar-SA"/>
        </w:rPr>
        <w:t>人力资源和社会保障局</w:t>
      </w:r>
      <w:r>
        <w:rPr>
          <w:rFonts w:hint="default" w:ascii="Times New Roman" w:hAnsi="Times New Roman" w:eastAsia="方正楷体_GBK" w:cs="Times New Roman"/>
          <w:b w:val="0"/>
          <w:bCs w:val="0"/>
          <w:snapToGrid/>
          <w:kern w:val="2"/>
          <w:sz w:val="32"/>
          <w:szCs w:val="32"/>
          <w:lang w:val="en-US" w:eastAsia="zh-CN" w:bidi="ar-SA"/>
        </w:rPr>
        <w:t>）</w:t>
      </w:r>
    </w:p>
    <w:p w14:paraId="274D52A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（二）落实税费减免政策。</w:t>
      </w:r>
      <w:r>
        <w:rPr>
          <w:rFonts w:hint="default" w:ascii="Times New Roman" w:hAnsi="Times New Roman" w:eastAsia="方正仿宋_GBK" w:cs="Times New Roman"/>
          <w:snapToGrid/>
          <w:kern w:val="2"/>
          <w:sz w:val="32"/>
          <w:szCs w:val="32"/>
          <w:lang w:val="en-US" w:eastAsia="zh-CN" w:bidi="ar-SA"/>
        </w:rPr>
        <w:t>落实国家关于养老、托育、家政等社区家庭服务业税费优惠政策。落实生活性服务业增值税加计抵减及普惠性减税降费政策。支持依托政府投资建设的城乡社区综合服务设施（场地）设立家政服务网点。</w:t>
      </w:r>
      <w:r>
        <w:rPr>
          <w:rFonts w:hint="default" w:ascii="Times New Roman" w:hAnsi="Times New Roman" w:eastAsia="方正楷体_GBK" w:cs="Times New Roman"/>
          <w:b w:val="0"/>
          <w:bCs w:val="0"/>
          <w:snapToGrid/>
          <w:kern w:val="2"/>
          <w:sz w:val="32"/>
          <w:szCs w:val="32"/>
          <w:lang w:val="en-US" w:eastAsia="zh-CN" w:bidi="ar-SA"/>
        </w:rPr>
        <w:t>（区税务局、区发展改革委员会）</w:t>
      </w:r>
    </w:p>
    <w:p w14:paraId="08D75C2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（三）加大金融保险支持力度。</w:t>
      </w:r>
      <w:r>
        <w:rPr>
          <w:rFonts w:hint="default" w:ascii="Times New Roman" w:hAnsi="Times New Roman" w:eastAsia="方正仿宋_GBK" w:cs="Times New Roman"/>
          <w:snapToGrid/>
          <w:kern w:val="2"/>
          <w:sz w:val="32"/>
          <w:szCs w:val="32"/>
          <w:lang w:val="en-US" w:eastAsia="zh-CN" w:bidi="ar-SA"/>
        </w:rPr>
        <w:t>鼓励金融机构为信用状况良好且符合条件的家政企业提供无抵押、无担保的信用贷款。探索推广契合家政企业生命周期的金融产品。逐步推进家政灵活就业人员职业伤害保障工作。鼓励家政服务企业为员工投保意外伤害保险、职业责任保险。</w:t>
      </w:r>
      <w:r>
        <w:rPr>
          <w:rFonts w:hint="default" w:ascii="Times New Roman" w:hAnsi="Times New Roman" w:eastAsia="方正楷体_GBK" w:cs="Times New Roman"/>
          <w:b w:val="0"/>
          <w:bCs w:val="0"/>
          <w:snapToGrid/>
          <w:kern w:val="2"/>
          <w:sz w:val="32"/>
          <w:szCs w:val="32"/>
          <w:lang w:val="en-US" w:eastAsia="zh-CN" w:bidi="ar-SA"/>
        </w:rPr>
        <w:t>（区财政局）</w:t>
      </w:r>
    </w:p>
    <w:p w14:paraId="5AB3F70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（四）落实其他有关政策。</w:t>
      </w:r>
      <w:r>
        <w:rPr>
          <w:rFonts w:hint="default" w:ascii="Times New Roman" w:hAnsi="Times New Roman" w:eastAsia="方正仿宋_GBK" w:cs="Times New Roman"/>
          <w:snapToGrid/>
          <w:kern w:val="2"/>
          <w:sz w:val="32"/>
          <w:szCs w:val="32"/>
          <w:lang w:val="en-US" w:eastAsia="zh-CN" w:bidi="ar-SA"/>
        </w:rPr>
        <w:t>家政企业在社区设置服务网点，其租赁场地不受用房性质限制，水电等费用实行居民价格。根据国家有关规定，落实家政服务人员体检要求，家政服务企业、消费者经与家政服务员协商一致，可增加体检项目，额外体检项目费用由家政服务企业或消费者承担。将符合条件的家政服务人员纳入住房保障范围。</w:t>
      </w:r>
      <w:r>
        <w:rPr>
          <w:rFonts w:hint="default" w:ascii="Times New Roman" w:hAnsi="Times New Roman" w:eastAsia="方正楷体_GBK" w:cs="Times New Roman"/>
          <w:b w:val="0"/>
          <w:bCs w:val="0"/>
          <w:snapToGrid/>
          <w:kern w:val="2"/>
          <w:sz w:val="32"/>
          <w:szCs w:val="32"/>
          <w:lang w:val="en-US" w:eastAsia="zh-CN" w:bidi="ar-SA"/>
        </w:rPr>
        <w:t>（区住房和城乡建设交通局、区卫生健康委员会）</w:t>
      </w:r>
    </w:p>
    <w:p w14:paraId="225F3ABB">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四、实施步骤</w:t>
      </w:r>
    </w:p>
    <w:p w14:paraId="6017B5B3">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（一）动员部署阶段（2022年7月15日前）。</w:t>
      </w:r>
      <w:r>
        <w:rPr>
          <w:rFonts w:hint="default" w:ascii="Times New Roman" w:hAnsi="Times New Roman" w:eastAsia="方正仿宋_GBK" w:cs="Times New Roman"/>
          <w:snapToGrid/>
          <w:kern w:val="2"/>
          <w:sz w:val="32"/>
          <w:szCs w:val="32"/>
          <w:lang w:val="en-US" w:eastAsia="zh-CN" w:bidi="ar-SA"/>
        </w:rPr>
        <w:t>根据省委暖民心行动统一部署要求，召开全区放心家政行动动员部署。</w:t>
      </w:r>
    </w:p>
    <w:p w14:paraId="2146959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（二）细分目标阶段（2022年7月底前）。</w:t>
      </w:r>
      <w:r>
        <w:rPr>
          <w:rFonts w:hint="default" w:ascii="Times New Roman" w:hAnsi="Times New Roman" w:eastAsia="方正仿宋_GBK" w:cs="Times New Roman"/>
          <w:snapToGrid/>
          <w:kern w:val="2"/>
          <w:sz w:val="32"/>
          <w:szCs w:val="32"/>
          <w:lang w:val="en-US" w:eastAsia="zh-CN" w:bidi="ar-SA"/>
        </w:rPr>
        <w:t>按照2022、2023年的阶段目标，细分各乡街家政服务人员培训（见附件2）及家政服务人员新增计划推进表（见附件3）。</w:t>
      </w:r>
    </w:p>
    <w:p w14:paraId="3502DA5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（三）信息归集阶段（2022年10月底前）。</w:t>
      </w:r>
      <w:r>
        <w:rPr>
          <w:rFonts w:hint="default" w:ascii="Times New Roman" w:hAnsi="Times New Roman" w:eastAsia="方正仿宋_GBK" w:cs="Times New Roman"/>
          <w:snapToGrid/>
          <w:kern w:val="2"/>
          <w:sz w:val="32"/>
          <w:szCs w:val="32"/>
          <w:lang w:val="en-US" w:eastAsia="zh-CN" w:bidi="ar-SA"/>
        </w:rPr>
        <w:t>通过市家政协会，依托商务部家政服务信用信息平台，乡街摸排等手段，掌握家政服务企业底数，建立企业信息表。通过集中培训、上门辅导、网络电话解答等形式指导督促全市家政企业和家政服务员建立健全信用记录。</w:t>
      </w:r>
    </w:p>
    <w:p w14:paraId="6607DE0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（四）开展培训阶段（2022年7月—202年11月底）。</w:t>
      </w:r>
      <w:r>
        <w:rPr>
          <w:rFonts w:hint="default" w:ascii="Times New Roman" w:hAnsi="Times New Roman" w:eastAsia="方正仿宋_GBK" w:cs="Times New Roman"/>
          <w:snapToGrid/>
          <w:kern w:val="2"/>
          <w:sz w:val="32"/>
          <w:szCs w:val="32"/>
          <w:lang w:val="en-US" w:eastAsia="zh-CN" w:bidi="ar-SA"/>
        </w:rPr>
        <w:t>通过对辖区人员的摸排，组织指导目标人群参与岗前培训，家政服务人员参与“回炉”培训，指引岗前培训人群通过商务统一平台健全信用记录。</w:t>
      </w:r>
    </w:p>
    <w:p w14:paraId="4E94B54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（五）信用评价阶段（每年年底之前）。</w:t>
      </w:r>
      <w:r>
        <w:rPr>
          <w:rFonts w:hint="default" w:ascii="Times New Roman" w:hAnsi="Times New Roman" w:eastAsia="方正仿宋_GBK" w:cs="Times New Roman"/>
          <w:snapToGrid/>
          <w:kern w:val="2"/>
          <w:sz w:val="32"/>
          <w:szCs w:val="32"/>
          <w:lang w:val="en-US" w:eastAsia="zh-CN" w:bidi="ar-SA"/>
        </w:rPr>
        <w:t>按照《安徽省家政服务企业和家政服务人员星级评定管理暂行办法》，开展家政服务人员星级评定，推荐优秀家政企业和人员，每年遴选2家优秀家政服务企业，10名优秀家政服务人员。</w:t>
      </w:r>
    </w:p>
    <w:p w14:paraId="33C0D63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（六）开展督促检查（每年年底之前）。</w:t>
      </w:r>
      <w:r>
        <w:rPr>
          <w:rFonts w:hint="default" w:ascii="Times New Roman" w:hAnsi="Times New Roman" w:eastAsia="方正仿宋_GBK" w:cs="Times New Roman"/>
          <w:snapToGrid/>
          <w:kern w:val="2"/>
          <w:sz w:val="32"/>
          <w:szCs w:val="32"/>
          <w:lang w:val="en-US" w:eastAsia="zh-CN" w:bidi="ar-SA"/>
        </w:rPr>
        <w:t>组织领导小组成员对各乡街放心家政培训情况、“一人一码（牌）制度落实情况进行督导，配合市商务和外事局开展督促检查和工作评估，并对各乡街工作落实情况进行通报。</w:t>
      </w:r>
    </w:p>
    <w:p w14:paraId="0F32E6D9">
      <w:pPr>
        <w:keepNext w:val="0"/>
        <w:keepLines w:val="0"/>
        <w:pageBreakBefore w:val="0"/>
        <w:widowControl w:val="0"/>
        <w:numPr>
          <w:ilvl w:val="0"/>
          <w:numId w:val="0"/>
        </w:numP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五、相关要求</w:t>
      </w:r>
    </w:p>
    <w:p w14:paraId="13BC272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（一）提高思想认识。</w:t>
      </w:r>
      <w:r>
        <w:rPr>
          <w:rFonts w:hint="default" w:ascii="Times New Roman" w:hAnsi="Times New Roman" w:eastAsia="方正仿宋_GBK" w:cs="Times New Roman"/>
          <w:snapToGrid/>
          <w:kern w:val="2"/>
          <w:sz w:val="32"/>
          <w:szCs w:val="32"/>
          <w:lang w:val="en-US" w:eastAsia="zh-CN" w:bidi="ar-SA"/>
        </w:rPr>
        <w:t>各乡街要充分认识这项工作的重要性和必要性，进一步统一思想，增强责任感、紧迫感，抓紧抓实各项工作，全面提升全市家政服务管理能力和水平。</w:t>
      </w:r>
    </w:p>
    <w:p w14:paraId="719FEA8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（二）压实工作责任。</w:t>
      </w:r>
      <w:r>
        <w:rPr>
          <w:rFonts w:hint="default" w:ascii="Times New Roman" w:hAnsi="Times New Roman" w:eastAsia="方正仿宋_GBK" w:cs="Times New Roman"/>
          <w:snapToGrid/>
          <w:kern w:val="2"/>
          <w:sz w:val="32"/>
          <w:szCs w:val="32"/>
          <w:lang w:val="en-US" w:eastAsia="zh-CN" w:bidi="ar-SA"/>
        </w:rPr>
        <w:t>建立家政服务“政府+乡街+协会+企业”四方责任体系，落实政府属地责任、乡街监管责任、协会推动落实、企业主体责任。各乡街要按照《放心家政行动方案》任务分工要求，会同相关职能部门紧盯重点难点和薄弱环节，提升管理服务能力，确保目标任务完成。</w:t>
      </w:r>
    </w:p>
    <w:p w14:paraId="5C2B185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（三）加强氛围营造。</w:t>
      </w:r>
      <w:r>
        <w:rPr>
          <w:rFonts w:hint="default" w:ascii="Times New Roman" w:hAnsi="Times New Roman" w:eastAsia="方正仿宋_GBK" w:cs="Times New Roman"/>
          <w:snapToGrid/>
          <w:kern w:val="2"/>
          <w:sz w:val="32"/>
          <w:szCs w:val="32"/>
          <w:lang w:val="en-US" w:eastAsia="zh-CN" w:bidi="ar-SA"/>
        </w:rPr>
        <w:t>通过各类新闻媒体广泛宣传，让人民群众了解放心家政行动的各项政策措施，保证制定的各项政策措施接地气、有实效。提高社会知晓度、提升从业人员的职业荣誉感。</w:t>
      </w:r>
    </w:p>
    <w:p w14:paraId="4AD9618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p>
    <w:p w14:paraId="4AFF242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附件：1.龙子湖区暖民心行动放心家政领导小组名单</w:t>
      </w:r>
    </w:p>
    <w:p w14:paraId="2BF2CD6B">
      <w:pPr>
        <w:keepNext w:val="0"/>
        <w:keepLines w:val="0"/>
        <w:pageBreakBefore w:val="0"/>
        <w:widowControl w:val="0"/>
        <w:kinsoku/>
        <w:wordWrap/>
        <w:overflowPunct/>
        <w:topLinePunct w:val="0"/>
        <w:autoSpaceDE/>
        <w:autoSpaceDN/>
        <w:bidi w:val="0"/>
        <w:adjustRightInd/>
        <w:snapToGrid/>
        <w:spacing w:line="590" w:lineRule="exact"/>
        <w:ind w:firstLine="1600" w:firstLineChars="5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2.龙子湖区家政服务人员培训计划表（2022—2025）</w:t>
      </w:r>
    </w:p>
    <w:p w14:paraId="04F6C2EC">
      <w:pPr>
        <w:keepNext w:val="0"/>
        <w:keepLines w:val="0"/>
        <w:pageBreakBefore w:val="0"/>
        <w:widowControl w:val="0"/>
        <w:kinsoku/>
        <w:wordWrap/>
        <w:overflowPunct/>
        <w:topLinePunct w:val="0"/>
        <w:autoSpaceDE/>
        <w:autoSpaceDN/>
        <w:bidi w:val="0"/>
        <w:adjustRightInd/>
        <w:snapToGrid/>
        <w:spacing w:line="590" w:lineRule="exact"/>
        <w:ind w:firstLine="1600" w:firstLineChars="5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3.龙子湖区家政服务人员新增计划表（2022—2025）</w:t>
      </w:r>
    </w:p>
    <w:p w14:paraId="7D0105D0">
      <w:pPr>
        <w:keepNext w:val="0"/>
        <w:keepLines w:val="0"/>
        <w:pageBreakBefore w:val="0"/>
        <w:widowControl w:val="0"/>
        <w:kinsoku/>
        <w:wordWrap/>
        <w:overflowPunct/>
        <w:topLinePunct w:val="0"/>
        <w:autoSpaceDE/>
        <w:autoSpaceDN/>
        <w:bidi w:val="0"/>
        <w:adjustRightInd/>
        <w:spacing w:line="590" w:lineRule="exact"/>
        <w:ind w:firstLine="640" w:firstLineChars="200"/>
        <w:jc w:val="both"/>
        <w:textAlignment w:val="baseline"/>
        <w:rPr>
          <w:rFonts w:hint="default" w:ascii="Times New Roman" w:hAnsi="Times New Roman" w:eastAsia="方正黑体_GBK" w:cs="Times New Roman"/>
          <w:kern w:val="2"/>
          <w:sz w:val="32"/>
          <w:szCs w:val="32"/>
          <w:lang w:val="en-US" w:eastAsia="zh-CN" w:bidi="ar-SA"/>
        </w:rPr>
      </w:pPr>
      <w:r>
        <w:rPr>
          <w:rFonts w:hint="default" w:ascii="Times New Roman" w:hAnsi="Times New Roman" w:eastAsia="方正黑体_GBK" w:cs="Times New Roman"/>
          <w:kern w:val="2"/>
          <w:sz w:val="32"/>
          <w:szCs w:val="32"/>
          <w:lang w:val="en-US" w:eastAsia="zh-CN" w:bidi="ar-SA"/>
        </w:rPr>
        <w:t>附件1</w:t>
      </w:r>
    </w:p>
    <w:p w14:paraId="092BA01D">
      <w:pPr>
        <w:keepNext w:val="0"/>
        <w:keepLines w:val="0"/>
        <w:pageBreakBefore w:val="0"/>
        <w:widowControl w:val="0"/>
        <w:kinsoku/>
        <w:wordWrap/>
        <w:overflowPunct/>
        <w:topLinePunct w:val="0"/>
        <w:autoSpaceDE/>
        <w:autoSpaceDN/>
        <w:bidi w:val="0"/>
        <w:adjustRightInd/>
        <w:snapToGrid w:val="0"/>
        <w:spacing w:line="590" w:lineRule="exact"/>
        <w:ind w:firstLine="360" w:firstLineChars="200"/>
        <w:jc w:val="left"/>
        <w:rPr>
          <w:rFonts w:hint="default" w:ascii="Times New Roman" w:hAnsi="Times New Roman" w:cs="Times New Roman" w:eastAsiaTheme="minorEastAsia"/>
          <w:kern w:val="2"/>
          <w:sz w:val="18"/>
          <w:szCs w:val="24"/>
          <w:lang w:val="en-US" w:eastAsia="zh-CN" w:bidi="ar-SA"/>
        </w:rPr>
      </w:pPr>
    </w:p>
    <w:p w14:paraId="16FF390B">
      <w:pPr>
        <w:keepNext w:val="0"/>
        <w:keepLines w:val="0"/>
        <w:pageBreakBefore w:val="0"/>
        <w:widowControl w:val="0"/>
        <w:kinsoku/>
        <w:wordWrap/>
        <w:overflowPunct/>
        <w:topLinePunct w:val="0"/>
        <w:autoSpaceDE/>
        <w:autoSpaceDN/>
        <w:bidi w:val="0"/>
        <w:adjustRightInd/>
        <w:snapToGrid w:val="0"/>
        <w:spacing w:line="590" w:lineRule="exact"/>
        <w:jc w:val="center"/>
        <w:rPr>
          <w:rFonts w:hint="default" w:ascii="Times New Roman" w:hAnsi="Times New Roman" w:eastAsia="方正小标宋_GBK" w:cs="Times New Roman"/>
          <w:kern w:val="2"/>
          <w:sz w:val="44"/>
          <w:szCs w:val="44"/>
          <w:lang w:val="en-US" w:eastAsia="zh-CN" w:bidi="ar-SA"/>
        </w:rPr>
      </w:pPr>
      <w:r>
        <w:rPr>
          <w:rFonts w:hint="default" w:ascii="Times New Roman" w:hAnsi="Times New Roman" w:eastAsia="方正小标宋_GBK" w:cs="Times New Roman"/>
          <w:kern w:val="2"/>
          <w:sz w:val="44"/>
          <w:szCs w:val="44"/>
          <w:lang w:val="en-US" w:eastAsia="zh-CN" w:bidi="ar-SA"/>
        </w:rPr>
        <w:t>龙子湖区暖民心行动放心家政</w:t>
      </w:r>
    </w:p>
    <w:p w14:paraId="3E4834E6">
      <w:pPr>
        <w:keepNext w:val="0"/>
        <w:keepLines w:val="0"/>
        <w:pageBreakBefore w:val="0"/>
        <w:widowControl w:val="0"/>
        <w:kinsoku/>
        <w:wordWrap/>
        <w:overflowPunct/>
        <w:topLinePunct w:val="0"/>
        <w:autoSpaceDE/>
        <w:autoSpaceDN/>
        <w:bidi w:val="0"/>
        <w:adjustRightInd/>
        <w:snapToGrid w:val="0"/>
        <w:spacing w:line="590" w:lineRule="exact"/>
        <w:jc w:val="center"/>
        <w:rPr>
          <w:rFonts w:hint="default" w:ascii="Times New Roman" w:hAnsi="Times New Roman" w:eastAsia="方正小标宋_GBK" w:cs="Times New Roman"/>
          <w:kern w:val="2"/>
          <w:sz w:val="44"/>
          <w:szCs w:val="44"/>
          <w:lang w:val="en-US" w:eastAsia="zh-CN" w:bidi="ar-SA"/>
        </w:rPr>
      </w:pPr>
      <w:r>
        <w:rPr>
          <w:rFonts w:hint="default" w:ascii="Times New Roman" w:hAnsi="Times New Roman" w:eastAsia="方正小标宋_GBK" w:cs="Times New Roman"/>
          <w:kern w:val="2"/>
          <w:sz w:val="44"/>
          <w:szCs w:val="44"/>
          <w:lang w:val="en-US" w:eastAsia="zh-CN" w:bidi="ar-SA"/>
        </w:rPr>
        <w:t>领导小组名单</w:t>
      </w:r>
    </w:p>
    <w:p w14:paraId="23135441">
      <w:pPr>
        <w:keepNext w:val="0"/>
        <w:keepLines w:val="0"/>
        <w:pageBreakBefore w:val="0"/>
        <w:widowControl w:val="0"/>
        <w:kinsoku/>
        <w:wordWrap/>
        <w:overflowPunct/>
        <w:topLinePunct w:val="0"/>
        <w:autoSpaceDE/>
        <w:autoSpaceDN/>
        <w:bidi w:val="0"/>
        <w:adjustRightInd/>
        <w:snapToGrid w:val="0"/>
        <w:spacing w:line="590" w:lineRule="exact"/>
        <w:jc w:val="center"/>
        <w:rPr>
          <w:rFonts w:hint="default" w:ascii="Times New Roman" w:hAnsi="Times New Roman" w:eastAsia="方正小标宋_GBK" w:cs="Times New Roman"/>
          <w:kern w:val="2"/>
          <w:sz w:val="44"/>
          <w:szCs w:val="44"/>
          <w:lang w:val="en-US" w:eastAsia="zh-CN" w:bidi="ar-SA"/>
        </w:rPr>
      </w:pPr>
    </w:p>
    <w:p w14:paraId="21A1D61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为顺利推行暖民心行动放心家政活动及后续工作，决定成立龙子湖区暖民心行动放心家政领导小组，组成成员如下：</w:t>
      </w:r>
    </w:p>
    <w:p w14:paraId="23E013C3">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组  长：蒋  纹   区政府副区长</w:t>
      </w:r>
    </w:p>
    <w:p w14:paraId="1756156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成  员：庞  飞   曹山街道办事处主任</w:t>
      </w:r>
    </w:p>
    <w:p w14:paraId="6026D0DE">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傅德府   东风街道办事处主任</w:t>
      </w:r>
    </w:p>
    <w:p w14:paraId="1F9B4EFF">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徐长城   东升街道办事处主任</w:t>
      </w:r>
    </w:p>
    <w:p w14:paraId="673A2160">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李  宣   解放街道办事处主任</w:t>
      </w:r>
    </w:p>
    <w:p w14:paraId="1B97C3B2">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孙  磊   延安街道办事处主任</w:t>
      </w:r>
    </w:p>
    <w:p w14:paraId="35D56888">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陈  明   治淮街道办事处主任</w:t>
      </w:r>
    </w:p>
    <w:p w14:paraId="07EA03CC">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李  磊   李楼乡人民政府乡长</w:t>
      </w:r>
    </w:p>
    <w:p w14:paraId="2FD0B839">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张  磊   区发展改革委员会主任</w:t>
      </w:r>
    </w:p>
    <w:p w14:paraId="01C7B468">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刘向勤   区妇女联合会主席</w:t>
      </w:r>
    </w:p>
    <w:p w14:paraId="3A8479F5">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胡  斌   区教育体育局局长</w:t>
      </w:r>
    </w:p>
    <w:p w14:paraId="519B2DD1">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方  勇   区民政局局长</w:t>
      </w:r>
    </w:p>
    <w:p w14:paraId="54395C84">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朱  何   区农业农村水利局局长</w:t>
      </w:r>
    </w:p>
    <w:p w14:paraId="7A4C61B2">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陈  洁   区人力资源和社会保障局局长</w:t>
      </w:r>
    </w:p>
    <w:p w14:paraId="43348C7C">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程秋生   区市场监督管理局局长</w:t>
      </w:r>
    </w:p>
    <w:p w14:paraId="65185747">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李万付   区税务局局长</w:t>
      </w:r>
    </w:p>
    <w:p w14:paraId="18B8580B">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毛  来   区商务外事局局长</w:t>
      </w:r>
    </w:p>
    <w:p w14:paraId="01B41FE6">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李  萍   区卫生健康委员会主任</w:t>
      </w:r>
    </w:p>
    <w:p w14:paraId="76C85B6A">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刘  磊   区住房和城乡建设交通局</w:t>
      </w:r>
    </w:p>
    <w:p w14:paraId="3AFF6AAA">
      <w:pPr>
        <w:keepNext w:val="0"/>
        <w:keepLines w:val="0"/>
        <w:pageBreakBefore w:val="0"/>
        <w:widowControl w:val="0"/>
        <w:kinsoku/>
        <w:wordWrap/>
        <w:overflowPunct/>
        <w:topLinePunct w:val="0"/>
        <w:autoSpaceDE/>
        <w:autoSpaceDN/>
        <w:bidi w:val="0"/>
        <w:adjustRightInd/>
        <w:snapToGrid/>
        <w:spacing w:line="590" w:lineRule="exact"/>
        <w:ind w:firstLine="1920" w:firstLineChars="6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王宗宝   区总工会主席</w:t>
      </w:r>
    </w:p>
    <w:p w14:paraId="5864F4CD">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snapToGrid/>
          <w:kern w:val="2"/>
          <w:sz w:val="32"/>
          <w:szCs w:val="32"/>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r>
        <w:rPr>
          <w:rFonts w:hint="default" w:ascii="Times New Roman" w:hAnsi="Times New Roman" w:eastAsia="方正仿宋_GBK" w:cs="Times New Roman"/>
          <w:snapToGrid/>
          <w:kern w:val="2"/>
          <w:sz w:val="32"/>
          <w:szCs w:val="32"/>
          <w:lang w:val="en-US" w:eastAsia="zh-CN" w:bidi="ar-SA"/>
        </w:rPr>
        <w:t>区放心家政领导小组办公室设在区商务外事局，毛来同志兼任办公室主任。</w:t>
      </w:r>
    </w:p>
    <w:p w14:paraId="36CF2032">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snapToGrid/>
          <w:kern w:val="2"/>
          <w:sz w:val="32"/>
          <w:szCs w:val="32"/>
          <w:lang w:val="en-US" w:eastAsia="zh-CN" w:bidi="ar-SA"/>
        </w:rPr>
      </w:pPr>
    </w:p>
    <w:p w14:paraId="533BFDE2">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baseline"/>
        <w:rPr>
          <w:rFonts w:hint="default" w:ascii="Times New Roman" w:hAnsi="Times New Roman" w:eastAsia="方正黑体_GBK" w:cs="Times New Roman"/>
          <w:kern w:val="2"/>
          <w:sz w:val="32"/>
          <w:szCs w:val="32"/>
          <w:lang w:val="en-US" w:eastAsia="zh-CN" w:bidi="ar-SA"/>
        </w:rPr>
      </w:pPr>
      <w:r>
        <w:rPr>
          <w:rFonts w:hint="default" w:ascii="Times New Roman" w:hAnsi="Times New Roman" w:eastAsia="方正黑体_GBK" w:cs="Times New Roman"/>
          <w:kern w:val="2"/>
          <w:sz w:val="32"/>
          <w:szCs w:val="32"/>
          <w:lang w:val="en-US" w:eastAsia="zh-CN" w:bidi="ar-SA"/>
        </w:rPr>
        <w:t>附件2</w:t>
      </w:r>
    </w:p>
    <w:p w14:paraId="5B827AE1">
      <w:pPr>
        <w:widowControl w:val="0"/>
        <w:snapToGrid w:val="0"/>
        <w:jc w:val="left"/>
        <w:rPr>
          <w:rFonts w:hint="default" w:ascii="Times New Roman" w:hAnsi="Times New Roman" w:cs="Times New Roman" w:eastAsiaTheme="minorEastAsia"/>
          <w:kern w:val="2"/>
          <w:sz w:val="32"/>
          <w:szCs w:val="32"/>
          <w:lang w:val="en-US" w:eastAsia="zh-CN" w:bidi="ar-SA"/>
        </w:rPr>
      </w:pPr>
    </w:p>
    <w:p w14:paraId="02DB700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龙子湖区家政服务人员培训计划表（2022—2025）</w:t>
      </w:r>
    </w:p>
    <w:p w14:paraId="4BC45277">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小标宋_GBK" w:cs="Times New Roman"/>
          <w:snapToGrid/>
          <w:kern w:val="2"/>
          <w:sz w:val="44"/>
          <w:szCs w:val="44"/>
          <w:lang w:val="en-US" w:eastAsia="zh-CN" w:bidi="ar-SA"/>
        </w:rPr>
      </w:pPr>
    </w:p>
    <w:p w14:paraId="3451BD1F">
      <w:pPr>
        <w:widowControl w:val="0"/>
        <w:ind w:left="111" w:firstLine="631"/>
        <w:jc w:val="both"/>
        <w:rPr>
          <w:rFonts w:hint="default" w:ascii="Times New Roman" w:hAnsi="Times New Roman" w:cs="Times New Roman" w:eastAsiaTheme="minorEastAsia"/>
          <w:kern w:val="2"/>
          <w:sz w:val="21"/>
          <w:szCs w:val="20"/>
          <w:lang w:val="en-US" w:eastAsia="zh-CN" w:bidi="ar-SA"/>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4"/>
        <w:gridCol w:w="1340"/>
        <w:gridCol w:w="820"/>
        <w:gridCol w:w="793"/>
        <w:gridCol w:w="964"/>
        <w:gridCol w:w="964"/>
        <w:gridCol w:w="849"/>
        <w:gridCol w:w="964"/>
        <w:gridCol w:w="849"/>
        <w:gridCol w:w="964"/>
      </w:tblGrid>
      <w:tr w14:paraId="7D412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54" w:type="dxa"/>
            <w:vMerge w:val="restart"/>
            <w:noWrap w:val="0"/>
            <w:vAlign w:val="center"/>
          </w:tcPr>
          <w:p w14:paraId="6C46E1FC">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序号</w:t>
            </w:r>
          </w:p>
        </w:tc>
        <w:tc>
          <w:tcPr>
            <w:tcW w:w="1340" w:type="dxa"/>
            <w:vMerge w:val="restart"/>
            <w:noWrap w:val="0"/>
            <w:vAlign w:val="center"/>
          </w:tcPr>
          <w:p w14:paraId="6D6A412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乡街</w:t>
            </w:r>
          </w:p>
        </w:tc>
        <w:tc>
          <w:tcPr>
            <w:tcW w:w="7167" w:type="dxa"/>
            <w:gridSpan w:val="8"/>
            <w:noWrap w:val="0"/>
            <w:vAlign w:val="center"/>
          </w:tcPr>
          <w:p w14:paraId="0CF30A14">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全区家政服务人员培训计划（人）</w:t>
            </w:r>
          </w:p>
        </w:tc>
      </w:tr>
      <w:tr w14:paraId="39A73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554" w:type="dxa"/>
            <w:vMerge w:val="continue"/>
            <w:noWrap w:val="0"/>
            <w:vAlign w:val="center"/>
          </w:tcPr>
          <w:p w14:paraId="2BED9B1E">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center"/>
              <w:textAlignment w:val="baseline"/>
              <w:rPr>
                <w:rFonts w:hint="default" w:ascii="Times New Roman" w:hAnsi="Times New Roman" w:eastAsia="方正仿宋_GBK" w:cs="Times New Roman"/>
                <w:kern w:val="2"/>
                <w:sz w:val="24"/>
                <w:szCs w:val="24"/>
                <w:lang w:val="en-US" w:eastAsia="zh-CN" w:bidi="ar-SA"/>
              </w:rPr>
            </w:pPr>
          </w:p>
        </w:tc>
        <w:tc>
          <w:tcPr>
            <w:tcW w:w="1340" w:type="dxa"/>
            <w:vMerge w:val="continue"/>
            <w:noWrap w:val="0"/>
            <w:vAlign w:val="center"/>
          </w:tcPr>
          <w:p w14:paraId="0803F12B">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center"/>
              <w:textAlignment w:val="baseline"/>
              <w:rPr>
                <w:rFonts w:hint="default" w:ascii="Times New Roman" w:hAnsi="Times New Roman" w:eastAsia="方正仿宋_GBK" w:cs="Times New Roman"/>
                <w:kern w:val="2"/>
                <w:sz w:val="24"/>
                <w:szCs w:val="24"/>
                <w:lang w:val="en-US" w:eastAsia="zh-CN" w:bidi="ar-SA"/>
              </w:rPr>
            </w:pPr>
          </w:p>
        </w:tc>
        <w:tc>
          <w:tcPr>
            <w:tcW w:w="1613" w:type="dxa"/>
            <w:gridSpan w:val="2"/>
            <w:noWrap w:val="0"/>
            <w:vAlign w:val="center"/>
          </w:tcPr>
          <w:p w14:paraId="58FF1751">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2022</w:t>
            </w:r>
          </w:p>
        </w:tc>
        <w:tc>
          <w:tcPr>
            <w:tcW w:w="1928" w:type="dxa"/>
            <w:gridSpan w:val="2"/>
            <w:noWrap w:val="0"/>
            <w:vAlign w:val="center"/>
          </w:tcPr>
          <w:p w14:paraId="6D909B31">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2023</w:t>
            </w:r>
          </w:p>
        </w:tc>
        <w:tc>
          <w:tcPr>
            <w:tcW w:w="1813" w:type="dxa"/>
            <w:gridSpan w:val="2"/>
            <w:noWrap w:val="0"/>
            <w:vAlign w:val="center"/>
          </w:tcPr>
          <w:p w14:paraId="6607807B">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2024</w:t>
            </w:r>
          </w:p>
        </w:tc>
        <w:tc>
          <w:tcPr>
            <w:tcW w:w="1813" w:type="dxa"/>
            <w:gridSpan w:val="2"/>
            <w:noWrap w:val="0"/>
            <w:vAlign w:val="center"/>
          </w:tcPr>
          <w:p w14:paraId="0BC69E86">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2025</w:t>
            </w:r>
          </w:p>
        </w:tc>
      </w:tr>
      <w:tr w14:paraId="42E3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vMerge w:val="continue"/>
            <w:noWrap w:val="0"/>
            <w:vAlign w:val="center"/>
          </w:tcPr>
          <w:p w14:paraId="1AF5DF67">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center"/>
              <w:textAlignment w:val="baseline"/>
              <w:rPr>
                <w:rFonts w:hint="default" w:ascii="Times New Roman" w:hAnsi="Times New Roman" w:eastAsia="方正仿宋_GBK" w:cs="Times New Roman"/>
                <w:kern w:val="2"/>
                <w:sz w:val="24"/>
                <w:szCs w:val="24"/>
                <w:lang w:val="en-US" w:eastAsia="zh-CN" w:bidi="ar-SA"/>
              </w:rPr>
            </w:pPr>
          </w:p>
        </w:tc>
        <w:tc>
          <w:tcPr>
            <w:tcW w:w="1340" w:type="dxa"/>
            <w:vMerge w:val="continue"/>
            <w:noWrap w:val="0"/>
            <w:vAlign w:val="center"/>
          </w:tcPr>
          <w:p w14:paraId="401ECCF5">
            <w:pPr>
              <w:keepNext w:val="0"/>
              <w:keepLines w:val="0"/>
              <w:pageBreakBefore w:val="0"/>
              <w:widowControl w:val="0"/>
              <w:kinsoku/>
              <w:wordWrap/>
              <w:overflowPunct/>
              <w:topLinePunct w:val="0"/>
              <w:autoSpaceDE/>
              <w:autoSpaceDN/>
              <w:bidi w:val="0"/>
              <w:adjustRightInd/>
              <w:snapToGrid/>
              <w:spacing w:line="0" w:lineRule="atLeast"/>
              <w:ind w:firstLine="480" w:firstLineChars="200"/>
              <w:jc w:val="center"/>
              <w:textAlignment w:val="baseline"/>
              <w:rPr>
                <w:rFonts w:hint="default" w:ascii="Times New Roman" w:hAnsi="Times New Roman" w:eastAsia="方正仿宋_GBK" w:cs="Times New Roman"/>
                <w:kern w:val="2"/>
                <w:sz w:val="24"/>
                <w:szCs w:val="24"/>
                <w:lang w:val="en-US" w:eastAsia="zh-CN" w:bidi="ar-SA"/>
              </w:rPr>
            </w:pPr>
          </w:p>
        </w:tc>
        <w:tc>
          <w:tcPr>
            <w:tcW w:w="820" w:type="dxa"/>
            <w:noWrap w:val="0"/>
            <w:vAlign w:val="center"/>
          </w:tcPr>
          <w:p w14:paraId="41D31AEF">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岗前培训</w:t>
            </w:r>
          </w:p>
        </w:tc>
        <w:tc>
          <w:tcPr>
            <w:tcW w:w="793" w:type="dxa"/>
            <w:noWrap w:val="0"/>
            <w:vAlign w:val="center"/>
          </w:tcPr>
          <w:p w14:paraId="155D568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回炉培训</w:t>
            </w:r>
          </w:p>
        </w:tc>
        <w:tc>
          <w:tcPr>
            <w:tcW w:w="964" w:type="dxa"/>
            <w:noWrap w:val="0"/>
            <w:vAlign w:val="center"/>
          </w:tcPr>
          <w:p w14:paraId="3C68A13A">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岗前培训</w:t>
            </w:r>
          </w:p>
        </w:tc>
        <w:tc>
          <w:tcPr>
            <w:tcW w:w="964" w:type="dxa"/>
            <w:noWrap w:val="0"/>
            <w:vAlign w:val="center"/>
          </w:tcPr>
          <w:p w14:paraId="3E1E7F36">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回炉培训</w:t>
            </w:r>
          </w:p>
        </w:tc>
        <w:tc>
          <w:tcPr>
            <w:tcW w:w="849" w:type="dxa"/>
            <w:noWrap w:val="0"/>
            <w:vAlign w:val="center"/>
          </w:tcPr>
          <w:p w14:paraId="437B028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岗前培训</w:t>
            </w:r>
          </w:p>
        </w:tc>
        <w:tc>
          <w:tcPr>
            <w:tcW w:w="964" w:type="dxa"/>
            <w:noWrap w:val="0"/>
            <w:vAlign w:val="center"/>
          </w:tcPr>
          <w:p w14:paraId="442EF98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回炉培训</w:t>
            </w:r>
          </w:p>
        </w:tc>
        <w:tc>
          <w:tcPr>
            <w:tcW w:w="849" w:type="dxa"/>
            <w:noWrap w:val="0"/>
            <w:vAlign w:val="center"/>
          </w:tcPr>
          <w:p w14:paraId="08C3580D">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岗前培训</w:t>
            </w:r>
          </w:p>
        </w:tc>
        <w:tc>
          <w:tcPr>
            <w:tcW w:w="964" w:type="dxa"/>
            <w:noWrap w:val="0"/>
            <w:vAlign w:val="center"/>
          </w:tcPr>
          <w:p w14:paraId="4E81889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回炉培训</w:t>
            </w:r>
          </w:p>
        </w:tc>
      </w:tr>
      <w:tr w14:paraId="44037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noWrap w:val="0"/>
            <w:vAlign w:val="center"/>
          </w:tcPr>
          <w:p w14:paraId="2C621FDB">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w:t>
            </w:r>
          </w:p>
        </w:tc>
        <w:tc>
          <w:tcPr>
            <w:tcW w:w="1340" w:type="dxa"/>
            <w:noWrap w:val="0"/>
            <w:vAlign w:val="center"/>
          </w:tcPr>
          <w:p w14:paraId="48A2FF3B">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i w:val="0"/>
                <w:iCs w:val="0"/>
                <w:snapToGrid/>
                <w:color w:val="000000"/>
                <w:kern w:val="0"/>
                <w:sz w:val="24"/>
                <w:szCs w:val="24"/>
                <w:u w:val="none"/>
                <w:lang w:val="en-US" w:eastAsia="zh-CN" w:bidi="ar"/>
              </w:rPr>
              <w:t>东风街道</w:t>
            </w:r>
          </w:p>
        </w:tc>
        <w:tc>
          <w:tcPr>
            <w:tcW w:w="820" w:type="dxa"/>
            <w:noWrap w:val="0"/>
            <w:vAlign w:val="center"/>
          </w:tcPr>
          <w:p w14:paraId="5FED0A52">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246</w:t>
            </w:r>
          </w:p>
        </w:tc>
        <w:tc>
          <w:tcPr>
            <w:tcW w:w="793" w:type="dxa"/>
            <w:noWrap w:val="0"/>
            <w:vAlign w:val="center"/>
          </w:tcPr>
          <w:p w14:paraId="24E4C2FF">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122</w:t>
            </w:r>
          </w:p>
        </w:tc>
        <w:tc>
          <w:tcPr>
            <w:tcW w:w="964" w:type="dxa"/>
            <w:noWrap w:val="0"/>
            <w:vAlign w:val="center"/>
          </w:tcPr>
          <w:p w14:paraId="7914F2D1">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122</w:t>
            </w:r>
          </w:p>
        </w:tc>
        <w:tc>
          <w:tcPr>
            <w:tcW w:w="964" w:type="dxa"/>
            <w:noWrap w:val="0"/>
            <w:vAlign w:val="center"/>
          </w:tcPr>
          <w:p w14:paraId="27914480">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153</w:t>
            </w:r>
          </w:p>
        </w:tc>
        <w:tc>
          <w:tcPr>
            <w:tcW w:w="849" w:type="dxa"/>
            <w:noWrap w:val="0"/>
            <w:vAlign w:val="center"/>
          </w:tcPr>
          <w:p w14:paraId="425250F4">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61</w:t>
            </w:r>
          </w:p>
        </w:tc>
        <w:tc>
          <w:tcPr>
            <w:tcW w:w="964" w:type="dxa"/>
            <w:noWrap w:val="0"/>
            <w:vAlign w:val="center"/>
          </w:tcPr>
          <w:p w14:paraId="3465C1B4">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122</w:t>
            </w:r>
          </w:p>
        </w:tc>
        <w:tc>
          <w:tcPr>
            <w:tcW w:w="849" w:type="dxa"/>
            <w:noWrap w:val="0"/>
            <w:vAlign w:val="center"/>
          </w:tcPr>
          <w:p w14:paraId="2105C5C0">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61</w:t>
            </w:r>
          </w:p>
        </w:tc>
        <w:tc>
          <w:tcPr>
            <w:tcW w:w="964" w:type="dxa"/>
            <w:noWrap w:val="0"/>
            <w:vAlign w:val="center"/>
          </w:tcPr>
          <w:p w14:paraId="5E438055">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100</w:t>
            </w:r>
          </w:p>
        </w:tc>
      </w:tr>
      <w:tr w14:paraId="4508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noWrap w:val="0"/>
            <w:vAlign w:val="center"/>
          </w:tcPr>
          <w:p w14:paraId="7235EF5C">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w:t>
            </w:r>
          </w:p>
        </w:tc>
        <w:tc>
          <w:tcPr>
            <w:tcW w:w="1340" w:type="dxa"/>
            <w:noWrap w:val="0"/>
            <w:vAlign w:val="center"/>
          </w:tcPr>
          <w:p w14:paraId="2556B28E">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i w:val="0"/>
                <w:iCs w:val="0"/>
                <w:snapToGrid/>
                <w:color w:val="000000"/>
                <w:kern w:val="0"/>
                <w:sz w:val="24"/>
                <w:szCs w:val="24"/>
                <w:u w:val="none"/>
                <w:lang w:val="en-US" w:eastAsia="zh-CN" w:bidi="ar"/>
              </w:rPr>
              <w:t>东升街道</w:t>
            </w:r>
          </w:p>
        </w:tc>
        <w:tc>
          <w:tcPr>
            <w:tcW w:w="820" w:type="dxa"/>
            <w:noWrap w:val="0"/>
            <w:vAlign w:val="center"/>
          </w:tcPr>
          <w:p w14:paraId="7BA6E62F">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210</w:t>
            </w:r>
          </w:p>
        </w:tc>
        <w:tc>
          <w:tcPr>
            <w:tcW w:w="793" w:type="dxa"/>
            <w:noWrap w:val="0"/>
            <w:vAlign w:val="center"/>
          </w:tcPr>
          <w:p w14:paraId="6CCF0882">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254</w:t>
            </w:r>
          </w:p>
        </w:tc>
        <w:tc>
          <w:tcPr>
            <w:tcW w:w="964" w:type="dxa"/>
            <w:noWrap w:val="0"/>
            <w:vAlign w:val="center"/>
          </w:tcPr>
          <w:p w14:paraId="71FE5AAF">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104</w:t>
            </w:r>
          </w:p>
        </w:tc>
        <w:tc>
          <w:tcPr>
            <w:tcW w:w="964" w:type="dxa"/>
            <w:noWrap w:val="0"/>
            <w:vAlign w:val="center"/>
          </w:tcPr>
          <w:p w14:paraId="61BACC31">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351</w:t>
            </w:r>
          </w:p>
        </w:tc>
        <w:tc>
          <w:tcPr>
            <w:tcW w:w="849" w:type="dxa"/>
            <w:noWrap w:val="0"/>
            <w:vAlign w:val="center"/>
          </w:tcPr>
          <w:p w14:paraId="0A24CC23">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52</w:t>
            </w:r>
          </w:p>
        </w:tc>
        <w:tc>
          <w:tcPr>
            <w:tcW w:w="964" w:type="dxa"/>
            <w:noWrap w:val="0"/>
            <w:vAlign w:val="center"/>
          </w:tcPr>
          <w:p w14:paraId="7BFA158E">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140</w:t>
            </w:r>
          </w:p>
        </w:tc>
        <w:tc>
          <w:tcPr>
            <w:tcW w:w="849" w:type="dxa"/>
            <w:noWrap w:val="0"/>
            <w:vAlign w:val="center"/>
          </w:tcPr>
          <w:p w14:paraId="133383AC">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52</w:t>
            </w:r>
          </w:p>
        </w:tc>
        <w:tc>
          <w:tcPr>
            <w:tcW w:w="964" w:type="dxa"/>
            <w:noWrap w:val="0"/>
            <w:vAlign w:val="center"/>
          </w:tcPr>
          <w:p w14:paraId="5213006A">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115</w:t>
            </w:r>
          </w:p>
        </w:tc>
      </w:tr>
      <w:tr w14:paraId="67C4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noWrap w:val="0"/>
            <w:vAlign w:val="center"/>
          </w:tcPr>
          <w:p w14:paraId="78D8DA8E">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3</w:t>
            </w:r>
          </w:p>
        </w:tc>
        <w:tc>
          <w:tcPr>
            <w:tcW w:w="1340" w:type="dxa"/>
            <w:noWrap w:val="0"/>
            <w:vAlign w:val="center"/>
          </w:tcPr>
          <w:p w14:paraId="224DB552">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i w:val="0"/>
                <w:iCs w:val="0"/>
                <w:snapToGrid/>
                <w:color w:val="000000"/>
                <w:kern w:val="0"/>
                <w:sz w:val="24"/>
                <w:szCs w:val="24"/>
                <w:u w:val="none"/>
                <w:lang w:val="en-US" w:eastAsia="zh-CN" w:bidi="ar"/>
              </w:rPr>
              <w:t>解放街道</w:t>
            </w:r>
          </w:p>
        </w:tc>
        <w:tc>
          <w:tcPr>
            <w:tcW w:w="820" w:type="dxa"/>
            <w:noWrap w:val="0"/>
            <w:vAlign w:val="center"/>
          </w:tcPr>
          <w:p w14:paraId="2F0796B3">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137</w:t>
            </w:r>
          </w:p>
        </w:tc>
        <w:tc>
          <w:tcPr>
            <w:tcW w:w="793" w:type="dxa"/>
            <w:noWrap w:val="0"/>
            <w:vAlign w:val="center"/>
          </w:tcPr>
          <w:p w14:paraId="6AEF95C4">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129</w:t>
            </w:r>
          </w:p>
        </w:tc>
        <w:tc>
          <w:tcPr>
            <w:tcW w:w="964" w:type="dxa"/>
            <w:noWrap w:val="0"/>
            <w:vAlign w:val="center"/>
          </w:tcPr>
          <w:p w14:paraId="5EF38CEF">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68</w:t>
            </w:r>
          </w:p>
        </w:tc>
        <w:tc>
          <w:tcPr>
            <w:tcW w:w="964" w:type="dxa"/>
            <w:noWrap w:val="0"/>
            <w:vAlign w:val="center"/>
          </w:tcPr>
          <w:p w14:paraId="055A1886">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245</w:t>
            </w:r>
          </w:p>
        </w:tc>
        <w:tc>
          <w:tcPr>
            <w:tcW w:w="849" w:type="dxa"/>
            <w:noWrap w:val="0"/>
            <w:vAlign w:val="center"/>
          </w:tcPr>
          <w:p w14:paraId="689F174F">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34</w:t>
            </w:r>
          </w:p>
        </w:tc>
        <w:tc>
          <w:tcPr>
            <w:tcW w:w="964" w:type="dxa"/>
            <w:noWrap w:val="0"/>
            <w:vAlign w:val="center"/>
          </w:tcPr>
          <w:p w14:paraId="34B31762">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72</w:t>
            </w:r>
          </w:p>
        </w:tc>
        <w:tc>
          <w:tcPr>
            <w:tcW w:w="849" w:type="dxa"/>
            <w:noWrap w:val="0"/>
            <w:vAlign w:val="center"/>
          </w:tcPr>
          <w:p w14:paraId="7F2BF8FB">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34</w:t>
            </w:r>
          </w:p>
        </w:tc>
        <w:tc>
          <w:tcPr>
            <w:tcW w:w="964" w:type="dxa"/>
            <w:noWrap w:val="0"/>
            <w:vAlign w:val="center"/>
          </w:tcPr>
          <w:p w14:paraId="720982A4">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52</w:t>
            </w:r>
          </w:p>
        </w:tc>
      </w:tr>
      <w:tr w14:paraId="289A1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noWrap w:val="0"/>
            <w:vAlign w:val="center"/>
          </w:tcPr>
          <w:p w14:paraId="710C9658">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4</w:t>
            </w:r>
          </w:p>
        </w:tc>
        <w:tc>
          <w:tcPr>
            <w:tcW w:w="1340" w:type="dxa"/>
            <w:noWrap w:val="0"/>
            <w:vAlign w:val="center"/>
          </w:tcPr>
          <w:p w14:paraId="635287C0">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i w:val="0"/>
                <w:iCs w:val="0"/>
                <w:snapToGrid/>
                <w:color w:val="000000"/>
                <w:kern w:val="0"/>
                <w:sz w:val="24"/>
                <w:szCs w:val="24"/>
                <w:u w:val="none"/>
                <w:lang w:val="en-US" w:eastAsia="zh-CN" w:bidi="ar"/>
              </w:rPr>
              <w:t>曹山街道</w:t>
            </w:r>
          </w:p>
        </w:tc>
        <w:tc>
          <w:tcPr>
            <w:tcW w:w="820" w:type="dxa"/>
            <w:noWrap w:val="0"/>
            <w:vAlign w:val="center"/>
          </w:tcPr>
          <w:p w14:paraId="0B6F22FB">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110</w:t>
            </w:r>
          </w:p>
        </w:tc>
        <w:tc>
          <w:tcPr>
            <w:tcW w:w="793" w:type="dxa"/>
            <w:noWrap w:val="0"/>
            <w:vAlign w:val="center"/>
          </w:tcPr>
          <w:p w14:paraId="0C0C7B30">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412</w:t>
            </w:r>
          </w:p>
        </w:tc>
        <w:tc>
          <w:tcPr>
            <w:tcW w:w="964" w:type="dxa"/>
            <w:noWrap w:val="0"/>
            <w:vAlign w:val="center"/>
          </w:tcPr>
          <w:p w14:paraId="4DDD8996">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54</w:t>
            </w:r>
          </w:p>
        </w:tc>
        <w:tc>
          <w:tcPr>
            <w:tcW w:w="964" w:type="dxa"/>
            <w:noWrap w:val="0"/>
            <w:vAlign w:val="center"/>
          </w:tcPr>
          <w:p w14:paraId="0D3512FD">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700</w:t>
            </w:r>
          </w:p>
        </w:tc>
        <w:tc>
          <w:tcPr>
            <w:tcW w:w="849" w:type="dxa"/>
            <w:noWrap w:val="0"/>
            <w:vAlign w:val="center"/>
          </w:tcPr>
          <w:p w14:paraId="24820C6C">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27</w:t>
            </w:r>
          </w:p>
        </w:tc>
        <w:tc>
          <w:tcPr>
            <w:tcW w:w="964" w:type="dxa"/>
            <w:noWrap w:val="0"/>
            <w:vAlign w:val="center"/>
          </w:tcPr>
          <w:p w14:paraId="2DF27883">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310</w:t>
            </w:r>
          </w:p>
        </w:tc>
        <w:tc>
          <w:tcPr>
            <w:tcW w:w="849" w:type="dxa"/>
            <w:noWrap w:val="0"/>
            <w:vAlign w:val="center"/>
          </w:tcPr>
          <w:p w14:paraId="50AAE849">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27</w:t>
            </w:r>
          </w:p>
        </w:tc>
        <w:tc>
          <w:tcPr>
            <w:tcW w:w="964" w:type="dxa"/>
            <w:noWrap w:val="0"/>
            <w:vAlign w:val="center"/>
          </w:tcPr>
          <w:p w14:paraId="709EF5E5">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205</w:t>
            </w:r>
          </w:p>
        </w:tc>
      </w:tr>
      <w:tr w14:paraId="0ECD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noWrap w:val="0"/>
            <w:vAlign w:val="center"/>
          </w:tcPr>
          <w:p w14:paraId="3331BE75">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5</w:t>
            </w:r>
          </w:p>
        </w:tc>
        <w:tc>
          <w:tcPr>
            <w:tcW w:w="1340" w:type="dxa"/>
            <w:noWrap w:val="0"/>
            <w:vAlign w:val="center"/>
          </w:tcPr>
          <w:p w14:paraId="542AC712">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i w:val="0"/>
                <w:iCs w:val="0"/>
                <w:snapToGrid/>
                <w:color w:val="000000"/>
                <w:kern w:val="0"/>
                <w:sz w:val="24"/>
                <w:szCs w:val="24"/>
                <w:u w:val="none"/>
                <w:lang w:val="en-US" w:eastAsia="zh-CN" w:bidi="ar"/>
              </w:rPr>
              <w:t>李楼乡</w:t>
            </w:r>
          </w:p>
        </w:tc>
        <w:tc>
          <w:tcPr>
            <w:tcW w:w="820" w:type="dxa"/>
            <w:noWrap w:val="0"/>
            <w:vAlign w:val="center"/>
          </w:tcPr>
          <w:p w14:paraId="5E5DA506">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91</w:t>
            </w:r>
          </w:p>
        </w:tc>
        <w:tc>
          <w:tcPr>
            <w:tcW w:w="793" w:type="dxa"/>
            <w:noWrap w:val="0"/>
            <w:vAlign w:val="center"/>
          </w:tcPr>
          <w:p w14:paraId="025BE964">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50</w:t>
            </w:r>
          </w:p>
        </w:tc>
        <w:tc>
          <w:tcPr>
            <w:tcW w:w="964" w:type="dxa"/>
            <w:noWrap w:val="0"/>
            <w:vAlign w:val="center"/>
          </w:tcPr>
          <w:p w14:paraId="5B762D7E">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45</w:t>
            </w:r>
          </w:p>
        </w:tc>
        <w:tc>
          <w:tcPr>
            <w:tcW w:w="964" w:type="dxa"/>
            <w:noWrap w:val="0"/>
            <w:vAlign w:val="center"/>
          </w:tcPr>
          <w:p w14:paraId="2C9DCA2B">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67</w:t>
            </w:r>
          </w:p>
        </w:tc>
        <w:tc>
          <w:tcPr>
            <w:tcW w:w="849" w:type="dxa"/>
            <w:noWrap w:val="0"/>
            <w:vAlign w:val="center"/>
          </w:tcPr>
          <w:p w14:paraId="101827AC">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23</w:t>
            </w:r>
          </w:p>
        </w:tc>
        <w:tc>
          <w:tcPr>
            <w:tcW w:w="964" w:type="dxa"/>
            <w:noWrap w:val="0"/>
            <w:vAlign w:val="center"/>
          </w:tcPr>
          <w:p w14:paraId="5C325E9A">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45</w:t>
            </w:r>
          </w:p>
        </w:tc>
        <w:tc>
          <w:tcPr>
            <w:tcW w:w="849" w:type="dxa"/>
            <w:noWrap w:val="0"/>
            <w:vAlign w:val="center"/>
          </w:tcPr>
          <w:p w14:paraId="34EAE5FF">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23</w:t>
            </w:r>
          </w:p>
        </w:tc>
        <w:tc>
          <w:tcPr>
            <w:tcW w:w="964" w:type="dxa"/>
            <w:noWrap w:val="0"/>
            <w:vAlign w:val="center"/>
          </w:tcPr>
          <w:p w14:paraId="74663C47">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35</w:t>
            </w:r>
          </w:p>
        </w:tc>
      </w:tr>
      <w:tr w14:paraId="208E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noWrap w:val="0"/>
            <w:vAlign w:val="center"/>
          </w:tcPr>
          <w:p w14:paraId="001D382E">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6</w:t>
            </w:r>
          </w:p>
        </w:tc>
        <w:tc>
          <w:tcPr>
            <w:tcW w:w="1340" w:type="dxa"/>
            <w:noWrap w:val="0"/>
            <w:vAlign w:val="center"/>
          </w:tcPr>
          <w:p w14:paraId="1B3B58D1">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i w:val="0"/>
                <w:iCs w:val="0"/>
                <w:snapToGrid/>
                <w:color w:val="000000"/>
                <w:kern w:val="0"/>
                <w:sz w:val="24"/>
                <w:szCs w:val="24"/>
                <w:u w:val="none"/>
                <w:lang w:val="en-US" w:eastAsia="zh-CN" w:bidi="ar"/>
              </w:rPr>
              <w:t>延安街道</w:t>
            </w:r>
          </w:p>
        </w:tc>
        <w:tc>
          <w:tcPr>
            <w:tcW w:w="820" w:type="dxa"/>
            <w:noWrap w:val="0"/>
            <w:vAlign w:val="center"/>
          </w:tcPr>
          <w:p w14:paraId="4A5F075E">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73</w:t>
            </w:r>
          </w:p>
        </w:tc>
        <w:tc>
          <w:tcPr>
            <w:tcW w:w="793" w:type="dxa"/>
            <w:noWrap w:val="0"/>
            <w:vAlign w:val="center"/>
          </w:tcPr>
          <w:p w14:paraId="409A4654">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150</w:t>
            </w:r>
          </w:p>
        </w:tc>
        <w:tc>
          <w:tcPr>
            <w:tcW w:w="964" w:type="dxa"/>
            <w:noWrap w:val="0"/>
            <w:vAlign w:val="center"/>
          </w:tcPr>
          <w:p w14:paraId="2A366032">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36</w:t>
            </w:r>
          </w:p>
        </w:tc>
        <w:tc>
          <w:tcPr>
            <w:tcW w:w="964" w:type="dxa"/>
            <w:noWrap w:val="0"/>
            <w:vAlign w:val="center"/>
          </w:tcPr>
          <w:p w14:paraId="25F716E3">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178</w:t>
            </w:r>
          </w:p>
        </w:tc>
        <w:tc>
          <w:tcPr>
            <w:tcW w:w="849" w:type="dxa"/>
            <w:noWrap w:val="0"/>
            <w:vAlign w:val="center"/>
          </w:tcPr>
          <w:p w14:paraId="6131E0AB">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18</w:t>
            </w:r>
          </w:p>
        </w:tc>
        <w:tc>
          <w:tcPr>
            <w:tcW w:w="964" w:type="dxa"/>
            <w:noWrap w:val="0"/>
            <w:vAlign w:val="center"/>
          </w:tcPr>
          <w:p w14:paraId="7F353F39">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89</w:t>
            </w:r>
          </w:p>
        </w:tc>
        <w:tc>
          <w:tcPr>
            <w:tcW w:w="849" w:type="dxa"/>
            <w:noWrap w:val="0"/>
            <w:vAlign w:val="center"/>
          </w:tcPr>
          <w:p w14:paraId="2499B074">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18</w:t>
            </w:r>
          </w:p>
        </w:tc>
        <w:tc>
          <w:tcPr>
            <w:tcW w:w="964" w:type="dxa"/>
            <w:noWrap w:val="0"/>
            <w:vAlign w:val="center"/>
          </w:tcPr>
          <w:p w14:paraId="62A04F5A">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66</w:t>
            </w:r>
          </w:p>
        </w:tc>
      </w:tr>
      <w:tr w14:paraId="0CA53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noWrap w:val="0"/>
            <w:vAlign w:val="center"/>
          </w:tcPr>
          <w:p w14:paraId="5F8090F4">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7</w:t>
            </w:r>
          </w:p>
        </w:tc>
        <w:tc>
          <w:tcPr>
            <w:tcW w:w="1340" w:type="dxa"/>
            <w:noWrap w:val="0"/>
            <w:vAlign w:val="center"/>
          </w:tcPr>
          <w:p w14:paraId="3936FA46">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i w:val="0"/>
                <w:iCs w:val="0"/>
                <w:snapToGrid/>
                <w:color w:val="000000"/>
                <w:kern w:val="0"/>
                <w:sz w:val="24"/>
                <w:szCs w:val="24"/>
                <w:u w:val="none"/>
                <w:lang w:val="en-US" w:eastAsia="zh-CN" w:bidi="ar"/>
              </w:rPr>
              <w:t>治淮街道</w:t>
            </w:r>
          </w:p>
        </w:tc>
        <w:tc>
          <w:tcPr>
            <w:tcW w:w="820" w:type="dxa"/>
            <w:noWrap w:val="0"/>
            <w:vAlign w:val="center"/>
          </w:tcPr>
          <w:p w14:paraId="37DC6B26">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46</w:t>
            </w:r>
          </w:p>
        </w:tc>
        <w:tc>
          <w:tcPr>
            <w:tcW w:w="793" w:type="dxa"/>
            <w:noWrap w:val="0"/>
            <w:vAlign w:val="center"/>
          </w:tcPr>
          <w:p w14:paraId="220CF0D7">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244</w:t>
            </w:r>
          </w:p>
        </w:tc>
        <w:tc>
          <w:tcPr>
            <w:tcW w:w="964" w:type="dxa"/>
            <w:noWrap w:val="0"/>
            <w:vAlign w:val="center"/>
          </w:tcPr>
          <w:p w14:paraId="7838B33B">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23</w:t>
            </w:r>
          </w:p>
        </w:tc>
        <w:tc>
          <w:tcPr>
            <w:tcW w:w="964" w:type="dxa"/>
            <w:noWrap w:val="0"/>
            <w:vAlign w:val="center"/>
          </w:tcPr>
          <w:p w14:paraId="76E721F4">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344</w:t>
            </w:r>
          </w:p>
        </w:tc>
        <w:tc>
          <w:tcPr>
            <w:tcW w:w="849" w:type="dxa"/>
            <w:noWrap w:val="0"/>
            <w:vAlign w:val="center"/>
          </w:tcPr>
          <w:p w14:paraId="5748B5C6">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12</w:t>
            </w:r>
          </w:p>
        </w:tc>
        <w:tc>
          <w:tcPr>
            <w:tcW w:w="964" w:type="dxa"/>
            <w:noWrap w:val="0"/>
            <w:vAlign w:val="center"/>
          </w:tcPr>
          <w:p w14:paraId="4BA10152">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132</w:t>
            </w:r>
          </w:p>
        </w:tc>
        <w:tc>
          <w:tcPr>
            <w:tcW w:w="849" w:type="dxa"/>
            <w:noWrap w:val="0"/>
            <w:vAlign w:val="center"/>
          </w:tcPr>
          <w:p w14:paraId="75D814E2">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12</w:t>
            </w:r>
          </w:p>
        </w:tc>
        <w:tc>
          <w:tcPr>
            <w:tcW w:w="964" w:type="dxa"/>
            <w:noWrap w:val="0"/>
            <w:vAlign w:val="center"/>
          </w:tcPr>
          <w:p w14:paraId="4109012F">
            <w:pPr>
              <w:keepNext w:val="0"/>
              <w:keepLines w:val="0"/>
              <w:widowControl/>
              <w:suppressLineNumbers w:val="0"/>
              <w:kinsoku/>
              <w:autoSpaceDE/>
              <w:autoSpaceDN/>
              <w:adjustRightInd/>
              <w:snapToGrid/>
              <w:spacing w:line="240" w:lineRule="auto"/>
              <w:ind w:firstLine="0" w:firstLineChars="0"/>
              <w:jc w:val="center"/>
              <w:textAlignment w:val="center"/>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宋体" w:cs="Times New Roman"/>
                <w:i w:val="0"/>
                <w:iCs w:val="0"/>
                <w:snapToGrid/>
                <w:color w:val="000000"/>
                <w:kern w:val="0"/>
                <w:sz w:val="24"/>
                <w:szCs w:val="24"/>
                <w:u w:val="none"/>
                <w:lang w:val="en-US" w:eastAsia="zh-CN" w:bidi="ar"/>
              </w:rPr>
              <w:t>104</w:t>
            </w:r>
          </w:p>
        </w:tc>
      </w:tr>
    </w:tbl>
    <w:p w14:paraId="568AFB1F">
      <w:pPr>
        <w:widowControl w:val="0"/>
        <w:kinsoku/>
        <w:autoSpaceDE/>
        <w:autoSpaceDN/>
        <w:adjustRightInd/>
        <w:snapToGrid/>
        <w:spacing w:line="240" w:lineRule="auto"/>
        <w:jc w:val="both"/>
        <w:textAlignment w:val="auto"/>
        <w:rPr>
          <w:rFonts w:hint="default" w:ascii="Times New Roman" w:hAnsi="Times New Roman" w:cs="Times New Roman" w:eastAsiaTheme="minorEastAsia"/>
          <w:snapToGrid/>
          <w:kern w:val="2"/>
          <w:szCs w:val="24"/>
          <w:lang w:val="en-US" w:eastAsia="zh-CN" w:bidi="ar-SA"/>
        </w:rPr>
      </w:pPr>
      <w:r>
        <w:rPr>
          <w:rFonts w:hint="default" w:ascii="Times New Roman" w:hAnsi="Times New Roman" w:cs="Times New Roman" w:eastAsiaTheme="minorEastAsia"/>
          <w:snapToGrid/>
          <w:kern w:val="2"/>
          <w:szCs w:val="24"/>
          <w:lang w:val="en-US" w:eastAsia="zh-CN" w:bidi="ar-SA"/>
        </w:rPr>
        <w:br w:type="page"/>
      </w:r>
    </w:p>
    <w:p w14:paraId="5BB9CBB5">
      <w:pPr>
        <w:keepNext w:val="0"/>
        <w:keepLines w:val="0"/>
        <w:pageBreakBefore w:val="0"/>
        <w:widowControl w:val="0"/>
        <w:kinsoku/>
        <w:wordWrap/>
        <w:overflowPunct/>
        <w:topLinePunct w:val="0"/>
        <w:autoSpaceDE/>
        <w:autoSpaceDN/>
        <w:bidi w:val="0"/>
        <w:adjustRightInd/>
        <w:snapToGrid/>
        <w:spacing w:line="0" w:lineRule="atLeast"/>
        <w:ind w:left="0" w:leftChars="0" w:firstLine="0" w:firstLineChars="0"/>
        <w:jc w:val="both"/>
        <w:textAlignment w:val="baseline"/>
        <w:rPr>
          <w:rFonts w:hint="default" w:ascii="Times New Roman" w:hAnsi="Times New Roman" w:eastAsia="方正黑体_GBK" w:cs="Times New Roman"/>
          <w:kern w:val="2"/>
          <w:sz w:val="32"/>
          <w:szCs w:val="32"/>
          <w:lang w:val="en-US" w:eastAsia="zh-CN" w:bidi="ar-SA"/>
        </w:rPr>
      </w:pPr>
      <w:r>
        <w:rPr>
          <w:rFonts w:hint="default" w:ascii="Times New Roman" w:hAnsi="Times New Roman" w:eastAsia="方正黑体_GBK" w:cs="Times New Roman"/>
          <w:kern w:val="2"/>
          <w:sz w:val="32"/>
          <w:szCs w:val="32"/>
          <w:lang w:val="en-US" w:eastAsia="zh-CN" w:bidi="ar-SA"/>
        </w:rPr>
        <w:t>附件3</w:t>
      </w:r>
    </w:p>
    <w:p w14:paraId="23519D60">
      <w:pPr>
        <w:widowControl w:val="0"/>
        <w:snapToGrid w:val="0"/>
        <w:jc w:val="left"/>
        <w:rPr>
          <w:rFonts w:hint="default" w:asciiTheme="minorHAnsi" w:hAnsiTheme="minorHAnsi" w:eastAsiaTheme="minorEastAsia" w:cstheme="minorBidi"/>
          <w:kern w:val="2"/>
          <w:sz w:val="32"/>
          <w:szCs w:val="32"/>
          <w:lang w:val="en-US" w:eastAsia="zh-CN" w:bidi="ar-SA"/>
        </w:rPr>
      </w:pPr>
    </w:p>
    <w:p w14:paraId="5D22D2E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龙子湖区家政服务人员新增计划表（2022—2025）</w:t>
      </w:r>
    </w:p>
    <w:p w14:paraId="5B046B0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小标宋_GBK" w:cs="Times New Roman"/>
          <w:snapToGrid/>
          <w:kern w:val="2"/>
          <w:sz w:val="44"/>
          <w:szCs w:val="44"/>
          <w:lang w:val="en-US" w:eastAsia="zh-CN" w:bidi="ar-SA"/>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1290"/>
        <w:gridCol w:w="1790"/>
        <w:gridCol w:w="1691"/>
        <w:gridCol w:w="1753"/>
        <w:gridCol w:w="1723"/>
      </w:tblGrid>
      <w:tr w14:paraId="14925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814" w:type="dxa"/>
            <w:noWrap w:val="0"/>
            <w:vAlign w:val="center"/>
          </w:tcPr>
          <w:p w14:paraId="220686CB">
            <w:pPr>
              <w:widowControl w:val="0"/>
              <w:spacing w:line="240" w:lineRule="auto"/>
              <w:ind w:firstLine="0" w:firstLineChars="0"/>
              <w:jc w:val="center"/>
              <w:textAlignment w:val="baseline"/>
              <w:rPr>
                <w:rFonts w:hint="default" w:ascii="Times New Roman" w:hAnsi="Times New Roman" w:eastAsia="方正仿宋_GBK" w:cs="Times New Roman"/>
                <w:b/>
                <w:bCs/>
                <w:kern w:val="2"/>
                <w:sz w:val="28"/>
                <w:szCs w:val="28"/>
                <w:lang w:val="en-US" w:eastAsia="zh-CN" w:bidi="ar-SA"/>
              </w:rPr>
            </w:pPr>
            <w:r>
              <w:rPr>
                <w:rFonts w:hint="default" w:ascii="Times New Roman" w:hAnsi="Times New Roman" w:eastAsia="方正仿宋_GBK" w:cs="Times New Roman"/>
                <w:b/>
                <w:bCs/>
                <w:kern w:val="2"/>
                <w:sz w:val="28"/>
                <w:szCs w:val="28"/>
                <w:lang w:val="en-US" w:eastAsia="zh-CN" w:bidi="ar-SA"/>
              </w:rPr>
              <w:t>序号</w:t>
            </w:r>
          </w:p>
        </w:tc>
        <w:tc>
          <w:tcPr>
            <w:tcW w:w="1290" w:type="dxa"/>
            <w:noWrap w:val="0"/>
            <w:vAlign w:val="center"/>
          </w:tcPr>
          <w:p w14:paraId="1C59FB8A">
            <w:pPr>
              <w:widowControl w:val="0"/>
              <w:spacing w:line="240" w:lineRule="auto"/>
              <w:ind w:firstLine="0" w:firstLineChars="0"/>
              <w:jc w:val="center"/>
              <w:textAlignment w:val="baseline"/>
              <w:rPr>
                <w:rFonts w:hint="default" w:ascii="Times New Roman" w:hAnsi="Times New Roman" w:eastAsia="方正仿宋_GBK" w:cs="Times New Roman"/>
                <w:b/>
                <w:bCs/>
                <w:kern w:val="2"/>
                <w:sz w:val="28"/>
                <w:szCs w:val="28"/>
                <w:lang w:val="en-US" w:eastAsia="zh-CN" w:bidi="ar-SA"/>
              </w:rPr>
            </w:pPr>
            <w:r>
              <w:rPr>
                <w:rFonts w:hint="default" w:ascii="Times New Roman" w:hAnsi="Times New Roman" w:eastAsia="方正仿宋_GBK" w:cs="Times New Roman"/>
                <w:b/>
                <w:bCs/>
                <w:kern w:val="2"/>
                <w:sz w:val="28"/>
                <w:szCs w:val="28"/>
                <w:lang w:val="en-US" w:eastAsia="zh-CN" w:bidi="ar-SA"/>
              </w:rPr>
              <w:t>乡街</w:t>
            </w:r>
          </w:p>
        </w:tc>
        <w:tc>
          <w:tcPr>
            <w:tcW w:w="1790" w:type="dxa"/>
            <w:noWrap w:val="0"/>
            <w:vAlign w:val="center"/>
          </w:tcPr>
          <w:p w14:paraId="4C9DD54E">
            <w:pPr>
              <w:widowControl w:val="0"/>
              <w:spacing w:line="240" w:lineRule="auto"/>
              <w:ind w:firstLine="0" w:firstLineChars="0"/>
              <w:jc w:val="center"/>
              <w:textAlignment w:val="baseline"/>
              <w:rPr>
                <w:rFonts w:hint="default" w:ascii="Times New Roman" w:hAnsi="Times New Roman" w:eastAsia="方正仿宋_GBK" w:cs="Times New Roman"/>
                <w:b/>
                <w:bCs/>
                <w:kern w:val="2"/>
                <w:sz w:val="28"/>
                <w:szCs w:val="28"/>
                <w:lang w:val="en-US" w:eastAsia="zh-CN" w:bidi="ar-SA"/>
              </w:rPr>
            </w:pPr>
            <w:r>
              <w:rPr>
                <w:rFonts w:hint="default" w:ascii="Times New Roman" w:hAnsi="Times New Roman" w:eastAsia="方正仿宋_GBK" w:cs="Times New Roman"/>
                <w:b/>
                <w:bCs/>
                <w:kern w:val="2"/>
                <w:sz w:val="28"/>
                <w:szCs w:val="28"/>
                <w:lang w:val="en-US" w:eastAsia="zh-CN" w:bidi="ar-SA"/>
              </w:rPr>
              <w:t>2022年新增人数</w:t>
            </w:r>
          </w:p>
        </w:tc>
        <w:tc>
          <w:tcPr>
            <w:tcW w:w="1691" w:type="dxa"/>
            <w:noWrap w:val="0"/>
            <w:vAlign w:val="center"/>
          </w:tcPr>
          <w:p w14:paraId="5A22E11B">
            <w:pPr>
              <w:widowControl w:val="0"/>
              <w:spacing w:line="240" w:lineRule="auto"/>
              <w:ind w:firstLine="0" w:firstLineChars="0"/>
              <w:jc w:val="center"/>
              <w:textAlignment w:val="baseline"/>
              <w:rPr>
                <w:rFonts w:hint="default" w:ascii="Times New Roman" w:hAnsi="Times New Roman" w:eastAsia="方正仿宋_GBK" w:cs="Times New Roman"/>
                <w:b/>
                <w:bCs/>
                <w:kern w:val="2"/>
                <w:sz w:val="28"/>
                <w:szCs w:val="28"/>
                <w:lang w:val="en-US" w:eastAsia="zh-CN" w:bidi="ar-SA"/>
              </w:rPr>
            </w:pPr>
            <w:r>
              <w:rPr>
                <w:rFonts w:hint="default" w:ascii="Times New Roman" w:hAnsi="Times New Roman" w:eastAsia="方正仿宋_GBK" w:cs="Times New Roman"/>
                <w:b/>
                <w:bCs/>
                <w:kern w:val="2"/>
                <w:sz w:val="28"/>
                <w:szCs w:val="28"/>
                <w:lang w:val="en-US" w:eastAsia="zh-CN" w:bidi="ar-SA"/>
              </w:rPr>
              <w:t>2023年新增人数</w:t>
            </w:r>
          </w:p>
        </w:tc>
        <w:tc>
          <w:tcPr>
            <w:tcW w:w="1753" w:type="dxa"/>
            <w:noWrap w:val="0"/>
            <w:vAlign w:val="center"/>
          </w:tcPr>
          <w:p w14:paraId="03FB9912">
            <w:pPr>
              <w:widowControl w:val="0"/>
              <w:spacing w:line="240" w:lineRule="auto"/>
              <w:ind w:firstLine="0" w:firstLineChars="0"/>
              <w:jc w:val="center"/>
              <w:textAlignment w:val="baseline"/>
              <w:rPr>
                <w:rFonts w:hint="default" w:ascii="Times New Roman" w:hAnsi="Times New Roman" w:eastAsia="方正仿宋_GBK" w:cs="Times New Roman"/>
                <w:b/>
                <w:bCs/>
                <w:kern w:val="2"/>
                <w:sz w:val="28"/>
                <w:szCs w:val="28"/>
                <w:lang w:val="en-US" w:eastAsia="zh-CN" w:bidi="ar-SA"/>
              </w:rPr>
            </w:pPr>
            <w:r>
              <w:rPr>
                <w:rFonts w:hint="default" w:ascii="Times New Roman" w:hAnsi="Times New Roman" w:eastAsia="方正仿宋_GBK" w:cs="Times New Roman"/>
                <w:b/>
                <w:bCs/>
                <w:kern w:val="2"/>
                <w:sz w:val="28"/>
                <w:szCs w:val="28"/>
                <w:lang w:val="en-US" w:eastAsia="zh-CN" w:bidi="ar-SA"/>
              </w:rPr>
              <w:t>2024年新增人数</w:t>
            </w:r>
          </w:p>
        </w:tc>
        <w:tc>
          <w:tcPr>
            <w:tcW w:w="1723" w:type="dxa"/>
            <w:noWrap w:val="0"/>
            <w:vAlign w:val="center"/>
          </w:tcPr>
          <w:p w14:paraId="01A157D3">
            <w:pPr>
              <w:widowControl w:val="0"/>
              <w:spacing w:line="240" w:lineRule="auto"/>
              <w:ind w:firstLine="0" w:firstLineChars="0"/>
              <w:jc w:val="center"/>
              <w:textAlignment w:val="baseline"/>
              <w:rPr>
                <w:rFonts w:hint="default" w:ascii="Times New Roman" w:hAnsi="Times New Roman" w:eastAsia="方正仿宋_GBK" w:cs="Times New Roman"/>
                <w:b/>
                <w:bCs/>
                <w:kern w:val="2"/>
                <w:sz w:val="28"/>
                <w:szCs w:val="28"/>
                <w:lang w:val="en-US" w:eastAsia="zh-CN" w:bidi="ar-SA"/>
              </w:rPr>
            </w:pPr>
            <w:r>
              <w:rPr>
                <w:rFonts w:hint="default" w:ascii="Times New Roman" w:hAnsi="Times New Roman" w:eastAsia="方正仿宋_GBK" w:cs="Times New Roman"/>
                <w:b/>
                <w:bCs/>
                <w:kern w:val="2"/>
                <w:sz w:val="28"/>
                <w:szCs w:val="28"/>
                <w:lang w:val="en-US" w:eastAsia="zh-CN" w:bidi="ar-SA"/>
              </w:rPr>
              <w:t>2025年新增人数</w:t>
            </w:r>
          </w:p>
        </w:tc>
      </w:tr>
      <w:tr w14:paraId="20EE4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4" w:type="dxa"/>
            <w:noWrap w:val="0"/>
            <w:vAlign w:val="center"/>
          </w:tcPr>
          <w:p w14:paraId="787E437A">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w:t>
            </w:r>
          </w:p>
        </w:tc>
        <w:tc>
          <w:tcPr>
            <w:tcW w:w="1290" w:type="dxa"/>
            <w:noWrap w:val="0"/>
            <w:vAlign w:val="center"/>
          </w:tcPr>
          <w:p w14:paraId="1BAF8B9C">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东风街道</w:t>
            </w:r>
          </w:p>
        </w:tc>
        <w:tc>
          <w:tcPr>
            <w:tcW w:w="1790" w:type="dxa"/>
            <w:noWrap w:val="0"/>
            <w:vAlign w:val="center"/>
          </w:tcPr>
          <w:p w14:paraId="23CAB046">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122</w:t>
            </w:r>
          </w:p>
        </w:tc>
        <w:tc>
          <w:tcPr>
            <w:tcW w:w="1691" w:type="dxa"/>
            <w:noWrap w:val="0"/>
            <w:vAlign w:val="center"/>
          </w:tcPr>
          <w:p w14:paraId="22DDBC06">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122</w:t>
            </w:r>
          </w:p>
        </w:tc>
        <w:tc>
          <w:tcPr>
            <w:tcW w:w="1753" w:type="dxa"/>
            <w:noWrap w:val="0"/>
            <w:vAlign w:val="center"/>
          </w:tcPr>
          <w:p w14:paraId="3AE2827C">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122</w:t>
            </w:r>
          </w:p>
        </w:tc>
        <w:tc>
          <w:tcPr>
            <w:tcW w:w="1723" w:type="dxa"/>
            <w:noWrap w:val="0"/>
            <w:vAlign w:val="center"/>
          </w:tcPr>
          <w:p w14:paraId="6CE6CDEA">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122</w:t>
            </w:r>
          </w:p>
        </w:tc>
      </w:tr>
      <w:tr w14:paraId="0AE4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814" w:type="dxa"/>
            <w:noWrap w:val="0"/>
            <w:vAlign w:val="center"/>
          </w:tcPr>
          <w:p w14:paraId="63768784">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w:t>
            </w:r>
          </w:p>
        </w:tc>
        <w:tc>
          <w:tcPr>
            <w:tcW w:w="1290" w:type="dxa"/>
            <w:noWrap w:val="0"/>
            <w:vAlign w:val="center"/>
          </w:tcPr>
          <w:p w14:paraId="09F74793">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东升街道</w:t>
            </w:r>
          </w:p>
        </w:tc>
        <w:tc>
          <w:tcPr>
            <w:tcW w:w="1790" w:type="dxa"/>
            <w:noWrap w:val="0"/>
            <w:vAlign w:val="center"/>
          </w:tcPr>
          <w:p w14:paraId="1A85E433">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104</w:t>
            </w:r>
          </w:p>
        </w:tc>
        <w:tc>
          <w:tcPr>
            <w:tcW w:w="1691" w:type="dxa"/>
            <w:noWrap w:val="0"/>
            <w:vAlign w:val="center"/>
          </w:tcPr>
          <w:p w14:paraId="01862914">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104</w:t>
            </w:r>
          </w:p>
        </w:tc>
        <w:tc>
          <w:tcPr>
            <w:tcW w:w="1753" w:type="dxa"/>
            <w:noWrap w:val="0"/>
            <w:vAlign w:val="center"/>
          </w:tcPr>
          <w:p w14:paraId="165C73AC">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104</w:t>
            </w:r>
          </w:p>
        </w:tc>
        <w:tc>
          <w:tcPr>
            <w:tcW w:w="1723" w:type="dxa"/>
            <w:noWrap w:val="0"/>
            <w:vAlign w:val="center"/>
          </w:tcPr>
          <w:p w14:paraId="31C768B7">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104</w:t>
            </w:r>
          </w:p>
        </w:tc>
      </w:tr>
      <w:tr w14:paraId="39A3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814" w:type="dxa"/>
            <w:noWrap w:val="0"/>
            <w:vAlign w:val="center"/>
          </w:tcPr>
          <w:p w14:paraId="0AA86C85">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3</w:t>
            </w:r>
          </w:p>
        </w:tc>
        <w:tc>
          <w:tcPr>
            <w:tcW w:w="1290" w:type="dxa"/>
            <w:noWrap w:val="0"/>
            <w:vAlign w:val="center"/>
          </w:tcPr>
          <w:p w14:paraId="7A130698">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解放街道</w:t>
            </w:r>
          </w:p>
        </w:tc>
        <w:tc>
          <w:tcPr>
            <w:tcW w:w="1790" w:type="dxa"/>
            <w:noWrap w:val="0"/>
            <w:vAlign w:val="center"/>
          </w:tcPr>
          <w:p w14:paraId="7562A0C0">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68</w:t>
            </w:r>
          </w:p>
        </w:tc>
        <w:tc>
          <w:tcPr>
            <w:tcW w:w="1691" w:type="dxa"/>
            <w:noWrap w:val="0"/>
            <w:vAlign w:val="center"/>
          </w:tcPr>
          <w:p w14:paraId="511A0C8E">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68</w:t>
            </w:r>
          </w:p>
        </w:tc>
        <w:tc>
          <w:tcPr>
            <w:tcW w:w="1753" w:type="dxa"/>
            <w:noWrap w:val="0"/>
            <w:vAlign w:val="center"/>
          </w:tcPr>
          <w:p w14:paraId="58CB4448">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68</w:t>
            </w:r>
          </w:p>
        </w:tc>
        <w:tc>
          <w:tcPr>
            <w:tcW w:w="1723" w:type="dxa"/>
            <w:noWrap w:val="0"/>
            <w:vAlign w:val="center"/>
          </w:tcPr>
          <w:p w14:paraId="5AF66A93">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68</w:t>
            </w:r>
          </w:p>
        </w:tc>
      </w:tr>
      <w:tr w14:paraId="7F593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814" w:type="dxa"/>
            <w:noWrap w:val="0"/>
            <w:vAlign w:val="center"/>
          </w:tcPr>
          <w:p w14:paraId="744A573A">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4</w:t>
            </w:r>
          </w:p>
        </w:tc>
        <w:tc>
          <w:tcPr>
            <w:tcW w:w="1290" w:type="dxa"/>
            <w:noWrap w:val="0"/>
            <w:vAlign w:val="center"/>
          </w:tcPr>
          <w:p w14:paraId="7316A30C">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曹山街道</w:t>
            </w:r>
          </w:p>
        </w:tc>
        <w:tc>
          <w:tcPr>
            <w:tcW w:w="1790" w:type="dxa"/>
            <w:noWrap w:val="0"/>
            <w:vAlign w:val="center"/>
          </w:tcPr>
          <w:p w14:paraId="109126C4">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54</w:t>
            </w:r>
          </w:p>
        </w:tc>
        <w:tc>
          <w:tcPr>
            <w:tcW w:w="1691" w:type="dxa"/>
            <w:noWrap w:val="0"/>
            <w:vAlign w:val="center"/>
          </w:tcPr>
          <w:p w14:paraId="63EA3DB0">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54</w:t>
            </w:r>
          </w:p>
        </w:tc>
        <w:tc>
          <w:tcPr>
            <w:tcW w:w="1753" w:type="dxa"/>
            <w:noWrap w:val="0"/>
            <w:vAlign w:val="center"/>
          </w:tcPr>
          <w:p w14:paraId="609437F2">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54</w:t>
            </w:r>
          </w:p>
        </w:tc>
        <w:tc>
          <w:tcPr>
            <w:tcW w:w="1723" w:type="dxa"/>
            <w:noWrap w:val="0"/>
            <w:vAlign w:val="center"/>
          </w:tcPr>
          <w:p w14:paraId="10D1DCE2">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54</w:t>
            </w:r>
          </w:p>
        </w:tc>
      </w:tr>
      <w:tr w14:paraId="025D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4" w:type="dxa"/>
            <w:noWrap w:val="0"/>
            <w:vAlign w:val="center"/>
          </w:tcPr>
          <w:p w14:paraId="0C01545B">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5</w:t>
            </w:r>
          </w:p>
        </w:tc>
        <w:tc>
          <w:tcPr>
            <w:tcW w:w="1290" w:type="dxa"/>
            <w:noWrap w:val="0"/>
            <w:vAlign w:val="center"/>
          </w:tcPr>
          <w:p w14:paraId="144B1E1C">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李楼乡</w:t>
            </w:r>
          </w:p>
        </w:tc>
        <w:tc>
          <w:tcPr>
            <w:tcW w:w="1790" w:type="dxa"/>
            <w:noWrap w:val="0"/>
            <w:vAlign w:val="center"/>
          </w:tcPr>
          <w:p w14:paraId="2FFF236A">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45</w:t>
            </w:r>
          </w:p>
        </w:tc>
        <w:tc>
          <w:tcPr>
            <w:tcW w:w="1691" w:type="dxa"/>
            <w:noWrap w:val="0"/>
            <w:vAlign w:val="center"/>
          </w:tcPr>
          <w:p w14:paraId="67E075AE">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45</w:t>
            </w:r>
          </w:p>
        </w:tc>
        <w:tc>
          <w:tcPr>
            <w:tcW w:w="1753" w:type="dxa"/>
            <w:noWrap w:val="0"/>
            <w:vAlign w:val="center"/>
          </w:tcPr>
          <w:p w14:paraId="673AB588">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45</w:t>
            </w:r>
          </w:p>
        </w:tc>
        <w:tc>
          <w:tcPr>
            <w:tcW w:w="1723" w:type="dxa"/>
            <w:noWrap w:val="0"/>
            <w:vAlign w:val="center"/>
          </w:tcPr>
          <w:p w14:paraId="2CF48B3E">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45</w:t>
            </w:r>
          </w:p>
        </w:tc>
      </w:tr>
      <w:tr w14:paraId="1CE1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814" w:type="dxa"/>
            <w:noWrap w:val="0"/>
            <w:vAlign w:val="center"/>
          </w:tcPr>
          <w:p w14:paraId="4FEB3FFA">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6</w:t>
            </w:r>
          </w:p>
        </w:tc>
        <w:tc>
          <w:tcPr>
            <w:tcW w:w="1290" w:type="dxa"/>
            <w:noWrap w:val="0"/>
            <w:vAlign w:val="center"/>
          </w:tcPr>
          <w:p w14:paraId="646D8F82">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延安街道</w:t>
            </w:r>
          </w:p>
        </w:tc>
        <w:tc>
          <w:tcPr>
            <w:tcW w:w="1790" w:type="dxa"/>
            <w:noWrap w:val="0"/>
            <w:vAlign w:val="center"/>
          </w:tcPr>
          <w:p w14:paraId="39907A96">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36</w:t>
            </w:r>
          </w:p>
        </w:tc>
        <w:tc>
          <w:tcPr>
            <w:tcW w:w="1691" w:type="dxa"/>
            <w:noWrap w:val="0"/>
            <w:vAlign w:val="center"/>
          </w:tcPr>
          <w:p w14:paraId="59AAF973">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36</w:t>
            </w:r>
          </w:p>
        </w:tc>
        <w:tc>
          <w:tcPr>
            <w:tcW w:w="1753" w:type="dxa"/>
            <w:noWrap w:val="0"/>
            <w:vAlign w:val="center"/>
          </w:tcPr>
          <w:p w14:paraId="76B36117">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36</w:t>
            </w:r>
          </w:p>
        </w:tc>
        <w:tc>
          <w:tcPr>
            <w:tcW w:w="1723" w:type="dxa"/>
            <w:noWrap w:val="0"/>
            <w:vAlign w:val="center"/>
          </w:tcPr>
          <w:p w14:paraId="534476E5">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36</w:t>
            </w:r>
          </w:p>
        </w:tc>
      </w:tr>
      <w:tr w14:paraId="05D3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trPr>
        <w:tc>
          <w:tcPr>
            <w:tcW w:w="814" w:type="dxa"/>
            <w:noWrap w:val="0"/>
            <w:vAlign w:val="center"/>
          </w:tcPr>
          <w:p w14:paraId="1B4B4F36">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7</w:t>
            </w:r>
          </w:p>
        </w:tc>
        <w:tc>
          <w:tcPr>
            <w:tcW w:w="1290" w:type="dxa"/>
            <w:noWrap w:val="0"/>
            <w:vAlign w:val="center"/>
          </w:tcPr>
          <w:p w14:paraId="0D323B6A">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治淮街道</w:t>
            </w:r>
          </w:p>
        </w:tc>
        <w:tc>
          <w:tcPr>
            <w:tcW w:w="1790" w:type="dxa"/>
            <w:noWrap w:val="0"/>
            <w:vAlign w:val="center"/>
          </w:tcPr>
          <w:p w14:paraId="41481946">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23</w:t>
            </w:r>
          </w:p>
        </w:tc>
        <w:tc>
          <w:tcPr>
            <w:tcW w:w="1691" w:type="dxa"/>
            <w:noWrap w:val="0"/>
            <w:vAlign w:val="center"/>
          </w:tcPr>
          <w:p w14:paraId="4249B61A">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23</w:t>
            </w:r>
          </w:p>
        </w:tc>
        <w:tc>
          <w:tcPr>
            <w:tcW w:w="1753" w:type="dxa"/>
            <w:noWrap w:val="0"/>
            <w:vAlign w:val="center"/>
          </w:tcPr>
          <w:p w14:paraId="36C9DCE8">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23</w:t>
            </w:r>
          </w:p>
        </w:tc>
        <w:tc>
          <w:tcPr>
            <w:tcW w:w="1723" w:type="dxa"/>
            <w:noWrap w:val="0"/>
            <w:vAlign w:val="center"/>
          </w:tcPr>
          <w:p w14:paraId="7F261855">
            <w:pPr>
              <w:widowControl w:val="0"/>
              <w:spacing w:line="240" w:lineRule="auto"/>
              <w:ind w:firstLine="0" w:firstLineChars="0"/>
              <w:jc w:val="center"/>
              <w:textAlignment w:val="baseline"/>
              <w:rPr>
                <w:rFonts w:hint="default" w:ascii="Times New Roman" w:hAnsi="Times New Roman" w:eastAsia="方正仿宋_GBK" w:cs="Times New Roman"/>
                <w:kern w:val="2"/>
                <w:sz w:val="24"/>
                <w:szCs w:val="24"/>
                <w:lang w:val="en-US" w:eastAsia="zh-CN" w:bidi="ar-SA"/>
              </w:rPr>
            </w:pPr>
            <w:r>
              <w:rPr>
                <w:rFonts w:hint="default" w:ascii="Times New Roman" w:hAnsi="Times New Roman" w:eastAsia="方正仿宋_GBK" w:cs="Times New Roman"/>
                <w:kern w:val="2"/>
                <w:sz w:val="24"/>
                <w:szCs w:val="24"/>
                <w:lang w:val="en-US" w:eastAsia="zh-CN" w:bidi="ar-SA"/>
              </w:rPr>
              <w:t>23</w:t>
            </w:r>
          </w:p>
        </w:tc>
      </w:tr>
    </w:tbl>
    <w:p w14:paraId="5522AD52">
      <w:pPr>
        <w:widowControl w:val="0"/>
        <w:kinsoku/>
        <w:autoSpaceDE/>
        <w:autoSpaceDN/>
        <w:adjustRightInd/>
        <w:snapToGrid/>
        <w:spacing w:line="240" w:lineRule="auto"/>
        <w:jc w:val="both"/>
        <w:textAlignment w:val="auto"/>
        <w:rPr>
          <w:rFonts w:hint="default" w:ascii="Times New Roman" w:hAnsi="Times New Roman" w:cs="Times New Roman" w:eastAsiaTheme="minorEastAsia"/>
          <w:snapToGrid/>
          <w:kern w:val="2"/>
          <w:szCs w:val="24"/>
          <w:lang w:val="en-US" w:eastAsia="zh-CN" w:bidi="ar-SA"/>
        </w:rPr>
      </w:pPr>
      <w:r>
        <w:rPr>
          <w:rFonts w:hint="default" w:ascii="Times New Roman" w:hAnsi="Times New Roman" w:cs="Times New Roman" w:eastAsiaTheme="minorEastAsia"/>
          <w:snapToGrid/>
          <w:kern w:val="2"/>
          <w:szCs w:val="24"/>
          <w:lang w:val="en-US" w:eastAsia="zh-CN" w:bidi="ar-SA"/>
        </w:rPr>
        <w:br w:type="page"/>
      </w:r>
    </w:p>
    <w:p w14:paraId="0675ECF2">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附件11</w:t>
      </w:r>
    </w:p>
    <w:p w14:paraId="638686DB">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default" w:ascii="Times New Roman" w:hAnsi="Times New Roman" w:eastAsia="方正黑体_GBK" w:cs="Times New Roman"/>
          <w:snapToGrid/>
          <w:kern w:val="2"/>
          <w:sz w:val="32"/>
          <w:szCs w:val="32"/>
          <w:lang w:val="en-US" w:eastAsia="zh-CN" w:bidi="ar-SA"/>
        </w:rPr>
      </w:pPr>
    </w:p>
    <w:p w14:paraId="6B1A851A">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龙子湖区文明菜市行动方案</w:t>
      </w:r>
    </w:p>
    <w:p w14:paraId="6D142E1F">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snapToGrid/>
          <w:kern w:val="2"/>
          <w:sz w:val="44"/>
          <w:szCs w:val="44"/>
          <w:lang w:val="en-US" w:eastAsia="zh-CN" w:bidi="ar-SA"/>
        </w:rPr>
      </w:pPr>
    </w:p>
    <w:p w14:paraId="1BADBB1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龙子湖区辖区内现有菜市12个，10个已进行过改造，7个属于市级标准化菜场，2个临时菜场不具备改造条件,为推进“文明菜市”暖民心行动落到实处，规范辖区菜市建设,健全市场体系，提升居民生活质量，确保全区菜市达到“干净卫生、清洁明亮、管理有序”的文明菜市要求，制定以下行动方案。</w:t>
      </w:r>
    </w:p>
    <w:p w14:paraId="59D4FBE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一、目标任务</w:t>
      </w:r>
    </w:p>
    <w:p w14:paraId="0E0F488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（一）总体目标</w:t>
      </w:r>
    </w:p>
    <w:p w14:paraId="6F0C621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为进一步优化菜市(菜市场、农贸市场)消费环境，全面提升菜市文明水平，根据《蚌埠市文明菜市行动方案》按照“政府主导、市场主责，属地管理、压实责任，突出重点、稳步实施”的思路，开展菜市集中整治和改造提升，对全区菜市开展集中改造，构建良性长效管理机制，有效解决菜市“臭烘烘、湿漉漉、黑乎乎、乱糟糟”等突出问题，打造“干净卫生、清洁明亮、管理有序”的文明菜市。</w:t>
      </w:r>
    </w:p>
    <w:p w14:paraId="2D9C1A6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（二）具体目标</w:t>
      </w:r>
    </w:p>
    <w:p w14:paraId="43CBBD5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2022-2023年对全区10个已经进行过改造的菜市进行进一步升级。新建菜市按照文明菜市要求建设。2024—2025年，进一步巩固整治和改造提升效果，形成统筹推进、多方联动、各负其责、齐抓共管的文明菜市建设管理长效机制。</w:t>
      </w:r>
    </w:p>
    <w:p w14:paraId="2B91D2B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二、工作原则</w:t>
      </w:r>
    </w:p>
    <w:p w14:paraId="640EE843">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(一)政府主导，市场运作。</w:t>
      </w:r>
      <w:r>
        <w:rPr>
          <w:rFonts w:hint="default" w:ascii="Times New Roman" w:hAnsi="Times New Roman" w:eastAsia="方正仿宋_GBK" w:cs="Times New Roman"/>
          <w:snapToGrid/>
          <w:kern w:val="2"/>
          <w:sz w:val="32"/>
          <w:szCs w:val="32"/>
          <w:lang w:val="en-US" w:eastAsia="zh-CN" w:bidi="ar-SA"/>
        </w:rPr>
        <w:t>充分发挥市场配置资源的决定性作用，进一步发挥政府的调控作用，政府资源全面参与文明菜市建设管理，建立长效机制，有效保障文明菜市建设、运营管理和健康发展。</w:t>
      </w:r>
    </w:p>
    <w:p w14:paraId="601D970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(二)因地制宜，分类改造。</w:t>
      </w:r>
      <w:r>
        <w:rPr>
          <w:rFonts w:hint="default" w:ascii="Times New Roman" w:hAnsi="Times New Roman" w:eastAsia="方正仿宋_GBK" w:cs="Times New Roman"/>
          <w:snapToGrid/>
          <w:kern w:val="2"/>
          <w:sz w:val="32"/>
          <w:szCs w:val="32"/>
          <w:lang w:val="en-US" w:eastAsia="zh-CN" w:bidi="ar-SA"/>
        </w:rPr>
        <w:t>按照“一市一策”、分类指导的要求，结合菜市产权性质、转租经营等实际情况，分类实施全区菜市文明提升行动。</w:t>
      </w:r>
    </w:p>
    <w:p w14:paraId="47CF168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(三)区级统筹，各乡街、区直部门依据分工落实相应职责。</w:t>
      </w:r>
      <w:r>
        <w:rPr>
          <w:rFonts w:hint="default" w:ascii="Times New Roman" w:hAnsi="Times New Roman" w:eastAsia="方正仿宋_GBK" w:cs="Times New Roman"/>
          <w:snapToGrid/>
          <w:kern w:val="2"/>
          <w:sz w:val="32"/>
          <w:szCs w:val="32"/>
          <w:lang w:val="en-US" w:eastAsia="zh-CN" w:bidi="ar-SA"/>
        </w:rPr>
        <w:t>区级制定全区文明菜市行动方案、配套区级专项资金、督促检查和统筹推进工作落实，各乡街承担属地责任，按全区统一安排，抓好辖区菜市文明菜市行动。</w:t>
      </w:r>
    </w:p>
    <w:p w14:paraId="23C0136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三、组织保障</w:t>
      </w:r>
    </w:p>
    <w:p w14:paraId="7141D2B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为确保“文明菜市”行动顺利推进，特成立“文明菜市”改造提升工作专班，具体如下:</w:t>
      </w:r>
    </w:p>
    <w:p w14:paraId="563C7B8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组  长：蒋  纹  区政府副区长</w:t>
      </w:r>
    </w:p>
    <w:p w14:paraId="159A55A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 xml:space="preserve">组  员：屈建文  区财政局局长             </w:t>
      </w:r>
    </w:p>
    <w:p w14:paraId="1F3D172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刘  磊  区住建局局长</w:t>
      </w:r>
    </w:p>
    <w:p w14:paraId="595D8DF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 xml:space="preserve">毛  来  区商务外事局局长  </w:t>
      </w:r>
    </w:p>
    <w:p w14:paraId="7DFFC39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李  军  区城管局长</w:t>
      </w:r>
    </w:p>
    <w:p w14:paraId="34565803">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程秋生  区市场局长</w:t>
      </w:r>
    </w:p>
    <w:p w14:paraId="70EAB9C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张现伟  区消防大队大队长</w:t>
      </w:r>
    </w:p>
    <w:p w14:paraId="173FEEA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李  磊  李楼乡乡长</w:t>
      </w:r>
    </w:p>
    <w:p w14:paraId="41A83D0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孙  磊  延安街道办事处主任</w:t>
      </w:r>
    </w:p>
    <w:p w14:paraId="061DD01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傅德府  东风街道办事处主任</w:t>
      </w:r>
    </w:p>
    <w:p w14:paraId="6BA15CF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陈  明  治淮街道办事处主任</w:t>
      </w:r>
    </w:p>
    <w:p w14:paraId="3F8E00A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徐长城  东升街道办事处主任</w:t>
      </w:r>
    </w:p>
    <w:p w14:paraId="4F98B7C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李  宣  解放街道办事处主任</w:t>
      </w:r>
    </w:p>
    <w:p w14:paraId="0320B9B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庞  飞  曹山街道办事处主任</w:t>
      </w:r>
    </w:p>
    <w:p w14:paraId="76FA5E3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工作专班下设办公室在区商务外事局，由区商务外事局局长兼任办公室主任，负责“文明菜市”改造提升工作组织、协调、资料收集等日常事务。</w:t>
      </w:r>
    </w:p>
    <w:p w14:paraId="18F11C0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区财政局:负责涉改菜市改造提升的资金保障工作，将改造补贴资金纳入年度财政预算，涉改菜市改造完成并通过相关职能部门验收合格后，及时统筹拨付补贴资金。</w:t>
      </w:r>
    </w:p>
    <w:p w14:paraId="3632A65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区住房城乡建设局:负责做好涉改菜市改造提升施工期间的质量监督工作。</w:t>
      </w:r>
    </w:p>
    <w:p w14:paraId="40D21D2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区商务外事局:负责文明菜市行动牵头工作，组织、协调工作专班各成员单位按照时间节点推进文明菜市改造提升各项工作;履行办公室工作职责，及时沟通、反映和协调解决改造提升过程中遇到的困难和问题;负责组织涉改菜市验收，协调各级补贴资金落实到位等工作。</w:t>
      </w:r>
    </w:p>
    <w:p w14:paraId="23D14EB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区城市管理局:负责整治涉改菜市周边环境，对涉改菜市市容环境卫生进行监督管理，依法查处违法行为;协助涉改菜市所属乡街，抓好临时过渡菜市的相关管理工作。</w:t>
      </w:r>
    </w:p>
    <w:p w14:paraId="23D3861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区市场监管局:负责市场的日常监管;涉改菜市改造提升施工完成后，配合做好涉改菜市的验收、经营户的回迁工作。</w:t>
      </w:r>
    </w:p>
    <w:p w14:paraId="314901A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区消防救援大队:负责做好对涉改菜市升级改造过程的跟踪监督，按照国家消防法律、法规和有关标准做好消防审验把关工作。</w:t>
      </w:r>
    </w:p>
    <w:p w14:paraId="71D4ADC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各涉改菜市所在乡街:认真履行属地主责，抓好辖区涉改菜市改造提升涉及的思想动员、信访维稳、涉改市场临时过度方案和临时过渡市场选址、经营户迁出和回迁、日常管理等相关工作。</w:t>
      </w:r>
    </w:p>
    <w:p w14:paraId="0BCEFF7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涉改菜市开办单位:是菜市改造提升实施主体，按照《文明菜市实施标准》，根据涉改菜市实际，在市商务局和外事局、区商务外事局和区属各有关部门的业务指导下，坚持“一市一策”原则，完成改造建设。</w:t>
      </w:r>
    </w:p>
    <w:p w14:paraId="302412C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四、实施步骤</w:t>
      </w:r>
    </w:p>
    <w:p w14:paraId="482A38C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（一）动员部署阶段（2022年6月底前）。</w:t>
      </w:r>
      <w:r>
        <w:rPr>
          <w:rFonts w:hint="default" w:ascii="Times New Roman" w:hAnsi="Times New Roman" w:eastAsia="方正仿宋_GBK" w:cs="Times New Roman"/>
          <w:snapToGrid/>
          <w:kern w:val="2"/>
          <w:sz w:val="32"/>
          <w:szCs w:val="32"/>
          <w:lang w:val="en-US" w:eastAsia="zh-CN" w:bidi="ar-SA"/>
        </w:rPr>
        <w:t>召开全区商务系统落实暖民心文明菜市行动推进会议，进行全区动员、统一部署。</w:t>
      </w:r>
    </w:p>
    <w:p w14:paraId="2260AAB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（二）摸排定标阶段（2022年6月月底前）。</w:t>
      </w:r>
      <w:r>
        <w:rPr>
          <w:rFonts w:hint="default" w:ascii="Times New Roman" w:hAnsi="Times New Roman" w:eastAsia="方正仿宋_GBK" w:cs="Times New Roman"/>
          <w:snapToGrid/>
          <w:kern w:val="2"/>
          <w:sz w:val="32"/>
          <w:szCs w:val="32"/>
          <w:lang w:val="en-US" w:eastAsia="zh-CN" w:bidi="ar-SA"/>
        </w:rPr>
        <w:t>对照《文明菜市实施标准》统计形成菜市基本信息台账，逐一确定是否“达标”，对不达标菜场制定改造计划。</w:t>
      </w:r>
    </w:p>
    <w:p w14:paraId="68EE321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（三）整治改造阶段（2023年12月31日前）。</w:t>
      </w:r>
      <w:r>
        <w:rPr>
          <w:rFonts w:hint="default" w:ascii="Times New Roman" w:hAnsi="Times New Roman" w:eastAsia="方正仿宋_GBK" w:cs="Times New Roman"/>
          <w:snapToGrid/>
          <w:kern w:val="2"/>
          <w:sz w:val="32"/>
          <w:szCs w:val="32"/>
          <w:lang w:val="en-US" w:eastAsia="zh-CN" w:bidi="ar-SA"/>
        </w:rPr>
        <w:t>制定本行政区域现有存量不达标菜市改造提升时间表、路线图，有序实施菜市集中整治和改造提升，确保所有既定目标按时、高质量完成。</w:t>
      </w:r>
    </w:p>
    <w:p w14:paraId="228D0D7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（四）组织验收阶段（2023年12月31日前）。</w:t>
      </w:r>
      <w:r>
        <w:rPr>
          <w:rFonts w:hint="default" w:ascii="Times New Roman" w:hAnsi="Times New Roman" w:eastAsia="方正仿宋_GBK" w:cs="Times New Roman"/>
          <w:snapToGrid/>
          <w:kern w:val="2"/>
          <w:sz w:val="32"/>
          <w:szCs w:val="32"/>
          <w:lang w:val="en-US" w:eastAsia="zh-CN" w:bidi="ar-SA"/>
        </w:rPr>
        <w:t>原则上，实行动态验收，菜市完成整治和改造提升后，1个月内，申请市商务和外事局进行项目验收。2022年12月31日前，完成2022年度所有项目验收。2023年12月31日前，完成2023年度所有项目验收。</w:t>
      </w:r>
    </w:p>
    <w:p w14:paraId="372A57D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（五）抽查复核阶段（2024年3月31日前）。2</w:t>
      </w:r>
      <w:r>
        <w:rPr>
          <w:rFonts w:hint="default" w:ascii="Times New Roman" w:hAnsi="Times New Roman" w:eastAsia="方正仿宋_GBK" w:cs="Times New Roman"/>
          <w:snapToGrid/>
          <w:kern w:val="2"/>
          <w:sz w:val="32"/>
          <w:szCs w:val="32"/>
          <w:lang w:val="en-US" w:eastAsia="zh-CN" w:bidi="ar-SA"/>
        </w:rPr>
        <w:t>023年3月31日前、2024年3月31日前，省商务厅将组织第三方专业机构，分别对经市级验收的2022年度、2023年度菜市整治和改造提升项目进行抽查复核。</w:t>
      </w:r>
    </w:p>
    <w:p w14:paraId="0C98185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（六）巩固提升阶段（2025年12月31日前）。</w:t>
      </w:r>
      <w:r>
        <w:rPr>
          <w:rFonts w:hint="default" w:ascii="Times New Roman" w:hAnsi="Times New Roman" w:eastAsia="方正仿宋_GBK" w:cs="Times New Roman"/>
          <w:snapToGrid/>
          <w:kern w:val="2"/>
          <w:sz w:val="32"/>
          <w:szCs w:val="32"/>
          <w:lang w:val="en-US" w:eastAsia="zh-CN" w:bidi="ar-SA"/>
        </w:rPr>
        <w:t>巩固整治和改造提升效果，形成文明菜市建设管理长效机制。</w:t>
      </w:r>
    </w:p>
    <w:p w14:paraId="436371A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五、支持政策</w:t>
      </w:r>
    </w:p>
    <w:p w14:paraId="28D9645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仿宋_GB2312"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对于达到省级改造标准的市场，省财政按照改造和新建投资额30%的标准给予支持，改造的最高可达30万元、新建的最高可达50万元资金支持，市财政按照改造投资额的10%、最高可达10万元的标准给予奖补，区财政依照市级政策1比1配套奖补。</w:t>
      </w:r>
    </w:p>
    <w:p w14:paraId="57CEF5F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六、工作要求</w:t>
      </w:r>
    </w:p>
    <w:p w14:paraId="0441176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（一）提高思想认识。</w:t>
      </w:r>
      <w:r>
        <w:rPr>
          <w:rFonts w:hint="default" w:ascii="Times New Roman" w:hAnsi="Times New Roman" w:eastAsia="方正仿宋_GBK" w:cs="Times New Roman"/>
          <w:snapToGrid/>
          <w:kern w:val="2"/>
          <w:sz w:val="32"/>
          <w:szCs w:val="32"/>
          <w:lang w:val="en-US" w:eastAsia="zh-CN" w:bidi="ar-SA"/>
        </w:rPr>
        <w:t>文明菜市行动，事关群众所盼，涉及千家万户，是最直接、最迫切的民生工程之一。各部门要充分认识这项工作的重要性和必要性，进一步统一思想，切实增强责任感、使命感、紧迫感，抓紧抓实各项工作，确保市委市政府决策部署落地见效、执行到位，确保文明菜市行动的各项目标任务按期完成。</w:t>
      </w:r>
    </w:p>
    <w:p w14:paraId="076FF3D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仿宋_GB2312" w:cs="Times New Roman"/>
          <w:snapToGrid/>
          <w:kern w:val="2"/>
          <w:sz w:val="32"/>
          <w:szCs w:val="32"/>
          <w:lang w:val="en" w:eastAsia="zh-CN" w:bidi="ar-SA"/>
        </w:rPr>
      </w:pPr>
      <w:r>
        <w:rPr>
          <w:rFonts w:hint="default" w:ascii="Times New Roman" w:hAnsi="Times New Roman" w:eastAsia="方正楷体_GBK" w:cs="Times New Roman"/>
          <w:b w:val="0"/>
          <w:bCs w:val="0"/>
          <w:snapToGrid/>
          <w:kern w:val="2"/>
          <w:sz w:val="32"/>
          <w:szCs w:val="32"/>
          <w:lang w:val="en-US" w:eastAsia="zh-CN" w:bidi="ar-SA"/>
        </w:rPr>
        <w:t>（二）压实工作责任。</w:t>
      </w:r>
      <w:r>
        <w:rPr>
          <w:rFonts w:hint="default" w:ascii="Times New Roman" w:hAnsi="Times New Roman" w:eastAsia="方正仿宋_GBK" w:cs="Times New Roman"/>
          <w:snapToGrid/>
          <w:kern w:val="2"/>
          <w:sz w:val="32"/>
          <w:szCs w:val="32"/>
          <w:lang w:val="en-US" w:eastAsia="zh-CN" w:bidi="ar-SA"/>
        </w:rPr>
        <w:t>建立菜市“政府、部门、企业”三方责任体系，落实政府属地责任、部门监管责任、企业主体责任。紧盯工作重点难点和薄弱环节，着力推动菜市开办者完善菜市硬件设施，提升管理服务能力。充分发挥乡街、社区、村委、菜市开办者作用，特别是调动菜市经营者参与的主动性和积极性，</w:t>
      </w:r>
      <w:r>
        <w:rPr>
          <w:rFonts w:hint="default" w:ascii="Times New Roman" w:hAnsi="Times New Roman" w:eastAsia="方正仿宋_GBK" w:cs="Times New Roman"/>
          <w:snapToGrid/>
          <w:kern w:val="2"/>
          <w:sz w:val="32"/>
          <w:szCs w:val="32"/>
          <w:lang w:val="en" w:eastAsia="zh-CN" w:bidi="ar-SA"/>
        </w:rPr>
        <w:t>共同推动文明菜市各项工作落实、落细、落到位。</w:t>
      </w:r>
    </w:p>
    <w:p w14:paraId="10AB6A1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（三）加强氛围营造。</w:t>
      </w:r>
      <w:r>
        <w:rPr>
          <w:rFonts w:hint="default" w:ascii="Times New Roman" w:hAnsi="Times New Roman" w:eastAsia="方正仿宋_GBK" w:cs="Times New Roman"/>
          <w:snapToGrid/>
          <w:kern w:val="2"/>
          <w:sz w:val="32"/>
          <w:szCs w:val="32"/>
          <w:lang w:val="en-US" w:eastAsia="zh-CN" w:bidi="ar-SA"/>
        </w:rPr>
        <w:t>积极开展宣传动员工作，及时传达政策要求，深入挖掘文明菜市行动的好经验、好做法，利用各类媒体、平台进行广泛宣传，提升社会影响力和关注度，激发社会各界的参与热情，使文明菜市行动得到最广泛支持、参与。视情组织多样化交流，促进经验分享。</w:t>
      </w:r>
    </w:p>
    <w:p w14:paraId="6CDDB39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联系人：赵传洲 18297319802 0552-3040234</w:t>
      </w:r>
    </w:p>
    <w:p w14:paraId="7F7EE2A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p>
    <w:p w14:paraId="3EEA758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1.文明菜市实施标准；</w:t>
      </w:r>
    </w:p>
    <w:p w14:paraId="763EA4D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2.龙子湖区文明菜场提升改造任务分工</w:t>
      </w:r>
    </w:p>
    <w:p w14:paraId="7FC2323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p>
    <w:p w14:paraId="3F2EE14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附件1</w:t>
      </w:r>
    </w:p>
    <w:p w14:paraId="63534EFA">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bCs/>
          <w:snapToGrid/>
          <w:color w:val="000000"/>
          <w:kern w:val="2"/>
          <w:sz w:val="44"/>
          <w:szCs w:val="44"/>
          <w:lang w:val="en-US" w:eastAsia="zh-CN" w:bidi="ar-SA"/>
        </w:rPr>
      </w:pPr>
      <w:r>
        <w:rPr>
          <w:rFonts w:hint="default" w:ascii="Times New Roman" w:hAnsi="Times New Roman" w:eastAsia="方正小标宋_GBK" w:cs="Times New Roman"/>
          <w:bCs/>
          <w:snapToGrid/>
          <w:color w:val="000000"/>
          <w:kern w:val="2"/>
          <w:sz w:val="44"/>
          <w:szCs w:val="44"/>
          <w:lang w:val="en-US" w:eastAsia="zh-CN" w:bidi="ar-SA"/>
        </w:rPr>
        <w:t>安徽省文明菜市行动工作指引</w:t>
      </w:r>
    </w:p>
    <w:p w14:paraId="40147FEB">
      <w:pPr>
        <w:keepNext w:val="0"/>
        <w:keepLines w:val="0"/>
        <w:pageBreakBefore w:val="0"/>
        <w:widowControl/>
        <w:shd w:val="clear" w:color="auto"/>
        <w:kinsoku/>
        <w:wordWrap/>
        <w:overflowPunct/>
        <w:topLinePunct w:val="0"/>
        <w:autoSpaceDE/>
        <w:autoSpaceDN/>
        <w:bidi w:val="0"/>
        <w:adjustRightInd w:val="0"/>
        <w:snapToGrid w:val="0"/>
        <w:spacing w:before="0" w:beforeAutospacing="0" w:after="0" w:afterAutospacing="0" w:line="590" w:lineRule="exact"/>
        <w:ind w:left="0" w:right="0" w:firstLine="640" w:firstLineChars="200"/>
        <w:jc w:val="both"/>
        <w:textAlignment w:val="auto"/>
        <w:rPr>
          <w:rFonts w:hint="default" w:ascii="Times New Roman" w:hAnsi="Times New Roman" w:eastAsia="黑体" w:cs="Times New Roman"/>
          <w:kern w:val="2"/>
          <w:sz w:val="32"/>
          <w:szCs w:val="32"/>
          <w:lang w:val="en-US" w:eastAsia="zh-CN" w:bidi="ar"/>
        </w:rPr>
      </w:pPr>
    </w:p>
    <w:p w14:paraId="29EE17D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为针对性有效解决菜市“臭烘烘、湿漉漉、黑乎乎、乱糟糟”等突出问题，制定本指引。</w:t>
      </w:r>
    </w:p>
    <w:p w14:paraId="3C9B021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一、加强排风控源</w:t>
      </w:r>
    </w:p>
    <w:p w14:paraId="2D80BE7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 菜市要按国家或地方生态环境保护要求设置与建筑面积相匹配的排风设施，保持设备正常运行和通风量，实现经营场所空气流通顺畅。</w:t>
      </w:r>
    </w:p>
    <w:p w14:paraId="14ABAA7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 城区菜市、乡镇室内菜市宜保持窗户通风，保证空气顺畅对流。需要实施温控的食品专间须配置相应的通风及温控设施。宰杀间、现场食品加工间内应配备独立的通风换气装置。</w:t>
      </w:r>
    </w:p>
    <w:p w14:paraId="0033DB2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3. 按标准建设菜市公共卫生间，大门不宜面向交易区开设，不得设在熟食经营区域附近。有条件的菜市可以设置1-2个无障碍厕位。</w:t>
      </w:r>
    </w:p>
    <w:p w14:paraId="2771F4A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4. 对卫生间应加强保洁力度，勤刷、勤冲、勤洗、勤用空气清新剂、盘香、卫生球等去异味措施。</w:t>
      </w:r>
    </w:p>
    <w:p w14:paraId="7431FA8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5. 菜市应配置统一的分类垃圾桶（箱），并设置集中、规范的垃圾收集点；每个经营户应配备垃圾桶（箱）。蔬菜、水果等经营区使用带盖垃圾桶，肉类、鱼类、海鲜等经营区使用密闭垃圾桶并配置专用垃圾袋，及时清理，保持垃圾桶清洁。</w:t>
      </w:r>
    </w:p>
    <w:p w14:paraId="56546A0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6. 肉类下水加装油水分离器，水产海鲜类下水加装防鱼鳞设施。</w:t>
      </w:r>
    </w:p>
    <w:p w14:paraId="5CF34C7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二、实行分区管理</w:t>
      </w:r>
    </w:p>
    <w:p w14:paraId="47DC50C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7. 城区菜市内上下水道应确保畅通，采用沉井式暗渠（安管）排水系统。主通道与购物通道交叉处应设窨井，窨井间距不宜大于10米，柜台内侧设地漏。购物通道下水道必须设计为暗道。污水排放系统应当按环保要求设置过滤处理设施，符合相关的标准和规定。</w:t>
      </w:r>
    </w:p>
    <w:p w14:paraId="52BD817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8. 有条件的乡镇室内菜市内部排污管道（沟）应单独设置，自成系统，不与连体建筑雨水管道共用。</w:t>
      </w:r>
    </w:p>
    <w:p w14:paraId="3B9EABC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9. 排污管道（沟）应尽量采用直排式，减少弯道且应有合理坡度。当地有公共污水排放系统的，排污管道应与其联通。</w:t>
      </w:r>
    </w:p>
    <w:p w14:paraId="4C68B0A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10. 菜市柜台外地面应根据经营特性需要设置用不锈钢材料或耐腐蚀、易清洗的材料制作一定宽度和深度的排水槽，并设地漏。</w:t>
      </w:r>
    </w:p>
    <w:p w14:paraId="767B1CE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11. 柜台内排水槽保持排水通畅，地面保持干燥，不堆积垃圾。市场内应配备清洁墙面地面和设施设备的冲洗装置，合理配备一定数量吹干机，常态化处理地面积水。</w:t>
      </w:r>
    </w:p>
    <w:p w14:paraId="67BE0BB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12. 宰杀间、现场食品加工间内应设置下水管道。水产、畜禽肉类污水排放口应设隔离过滤设施。</w:t>
      </w:r>
    </w:p>
    <w:p w14:paraId="1F72507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13. 菜市内水分较大的海鲜、水产等产品应单独成区，集中设置，且与熟食、粮油、干调等对空气敏感度较高的商品明显隔开。</w:t>
      </w:r>
    </w:p>
    <w:p w14:paraId="504E76E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仿宋_GB2312" w:cs="Times New Roman"/>
          <w:b/>
          <w:bCs/>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14. 海鲜水产区域应配备上下水设施，宜采用或改造使用地面镂空装置，确保宰杀处理产生的污水往下流而不往外流</w:t>
      </w:r>
      <w:r>
        <w:rPr>
          <w:rFonts w:hint="default" w:ascii="Times New Roman" w:hAnsi="Times New Roman" w:eastAsia="仿宋_GB2312" w:cs="Times New Roman"/>
          <w:snapToGrid/>
          <w:kern w:val="2"/>
          <w:sz w:val="32"/>
          <w:szCs w:val="32"/>
          <w:lang w:val="en-US" w:eastAsia="zh-CN" w:bidi="ar-SA"/>
        </w:rPr>
        <w:t>。</w:t>
      </w:r>
    </w:p>
    <w:p w14:paraId="5935C9D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三、加强清洗亮化</w:t>
      </w:r>
    </w:p>
    <w:p w14:paraId="0D19E5C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15. 保持菜市外立面和内墙清洁干净，杜绝破损现象。</w:t>
      </w:r>
    </w:p>
    <w:p w14:paraId="16A5CE5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16. 菜市内地面应硬化处理，有条件的地方宜采用地砖铺设。</w:t>
      </w:r>
    </w:p>
    <w:p w14:paraId="21299FD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17. 菜市地面每天退市后及时冲洗干净。肉类、水产、海鲜类下水道每周至少打捞1遍，保持畅通。</w:t>
      </w:r>
    </w:p>
    <w:p w14:paraId="027801F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18. 菜市其他下水道、盖板、防鼠网及窨井口每月至少疏通1遍，保持畅通。</w:t>
      </w:r>
    </w:p>
    <w:p w14:paraId="34CCE3E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19. 对菜市内鲜肉、活禽、鲜鱼等摊位、用具及排水沟每天清洗1遍，每周清洗、消杀至少1遍，保持无污渍、无异味。</w:t>
      </w:r>
    </w:p>
    <w:p w14:paraId="3FD77199">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20. 根据建筑面积和高度安装充足的灯具，保障场内照明舒适感。</w:t>
      </w:r>
    </w:p>
    <w:p w14:paraId="1C80CB2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四、推进规范管理</w:t>
      </w:r>
    </w:p>
    <w:p w14:paraId="4A96882F">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21. 推行划行归市，根据市场功能，可按蔬果、肉类、水产品、干货、副食品、熟食卤品等交易区，面食、净菜等加工区、农户自产自销区、辅助生产区、公共服务区等设置。</w:t>
      </w:r>
    </w:p>
    <w:p w14:paraId="1E4B3670">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22. 设活禽交易的市场应集中划区，活禽类经营户应一律在全封闭式宰杀隔离销售区经营，并与其他交易区物理隔离，配套有独立的通风、冲洗等设施；不设活禽交易的市场，实行禽类“白条”上市，禽类产品经营户应提供与经营规模相适应的冷藏设施。设置熟食卤味隔离柜罩，配置防腐、防蝇、防尘用具，实行干湿分离、生熟分放。</w:t>
      </w:r>
    </w:p>
    <w:p w14:paraId="7B689E5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23. 城区菜市应设置服务台、公平秤、广播、顾客休息专座，设立公共电子显示屏、公示宣传栏、导购栏等服务设施；设置检测室，配备相应设备；设置管理人员办公室、监控室，设置24小时电子监控设施；乡镇菜市参照执行。</w:t>
      </w:r>
    </w:p>
    <w:p w14:paraId="6D248606">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24. 保障通道和出入口畅通。严禁在市场出入口堆放杂物、占道经营、乱摆乱卖。</w:t>
      </w:r>
    </w:p>
    <w:p w14:paraId="7609CE9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25. 规范设置菜市周边交通标识、标线，合理设置市场周边各类停车泊位，禁止各类车辆在市场内外乱停乱放，加强路面管控，维护市场周边交通秩序，符合消防安全要求。</w:t>
      </w:r>
    </w:p>
    <w:p w14:paraId="65705EFF">
      <w:pPr>
        <w:keepNext w:val="0"/>
        <w:keepLines w:val="0"/>
        <w:pageBreakBefore w:val="0"/>
        <w:widowControl/>
        <w:shd w:val="clear" w:color="auto"/>
        <w:kinsoku/>
        <w:wordWrap/>
        <w:overflowPunct/>
        <w:topLinePunct w:val="0"/>
        <w:autoSpaceDE/>
        <w:autoSpaceDN/>
        <w:bidi w:val="0"/>
        <w:adjustRightInd w:val="0"/>
        <w:snapToGrid w:val="0"/>
        <w:spacing w:before="0" w:beforeAutospacing="0" w:after="0" w:afterAutospacing="0" w:line="590" w:lineRule="exact"/>
        <w:ind w:left="0" w:right="0"/>
        <w:jc w:val="both"/>
        <w:textAlignment w:val="auto"/>
        <w:rPr>
          <w:rFonts w:hint="default" w:ascii="Times New Roman" w:hAnsi="Times New Roman" w:eastAsia="方正小标宋_GBK" w:cs="Times New Roman"/>
          <w:bCs/>
          <w:color w:val="000000"/>
          <w:kern w:val="0"/>
          <w:sz w:val="44"/>
          <w:szCs w:val="44"/>
          <w:lang w:val="en-US" w:eastAsia="zh-CN" w:bidi="ar"/>
        </w:rPr>
      </w:pPr>
    </w:p>
    <w:p w14:paraId="5DCE4A7F">
      <w:pPr>
        <w:keepNext w:val="0"/>
        <w:keepLines w:val="0"/>
        <w:pageBreakBefore w:val="0"/>
        <w:widowControl/>
        <w:shd w:val="clear" w:color="auto"/>
        <w:kinsoku/>
        <w:wordWrap/>
        <w:overflowPunct/>
        <w:topLinePunct w:val="0"/>
        <w:autoSpaceDE/>
        <w:autoSpaceDN/>
        <w:bidi w:val="0"/>
        <w:adjustRightInd w:val="0"/>
        <w:snapToGrid w:val="0"/>
        <w:spacing w:before="0" w:beforeAutospacing="0" w:after="0" w:afterAutospacing="0" w:line="590" w:lineRule="exact"/>
        <w:ind w:left="0" w:right="0"/>
        <w:jc w:val="center"/>
        <w:textAlignment w:val="auto"/>
        <w:rPr>
          <w:rFonts w:hint="default" w:ascii="Times New Roman" w:hAnsi="Times New Roman" w:eastAsia="楷体_GB2312" w:cs="Times New Roman"/>
          <w:b/>
          <w:bCs/>
          <w:kern w:val="0"/>
          <w:sz w:val="32"/>
          <w:szCs w:val="32"/>
          <w:lang w:val="en-US" w:eastAsia="zh-CN" w:bidi="ar"/>
        </w:rPr>
      </w:pPr>
      <w:r>
        <w:rPr>
          <w:rFonts w:hint="default" w:ascii="Times New Roman" w:hAnsi="Times New Roman" w:eastAsia="方正小标宋_GBK" w:cs="Times New Roman"/>
          <w:bCs/>
          <w:color w:val="000000"/>
          <w:kern w:val="0"/>
          <w:sz w:val="44"/>
          <w:szCs w:val="44"/>
          <w:lang w:val="en-US" w:eastAsia="zh-CN" w:bidi="ar"/>
        </w:rPr>
        <w:t>蚌埠市文明菜市实施标准</w:t>
      </w:r>
    </w:p>
    <w:p w14:paraId="703E51BB">
      <w:pPr>
        <w:keepNext w:val="0"/>
        <w:keepLines w:val="0"/>
        <w:pageBreakBefore w:val="0"/>
        <w:widowControl w:val="0"/>
        <w:shd w:val="clear"/>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b w:val="0"/>
          <w:bCs w:val="0"/>
          <w:snapToGrid/>
          <w:kern w:val="2"/>
          <w:sz w:val="32"/>
          <w:szCs w:val="32"/>
          <w:lang w:val="en-US" w:eastAsia="zh-CN" w:bidi="ar-SA"/>
        </w:rPr>
      </w:pPr>
      <w:r>
        <w:rPr>
          <w:rFonts w:hint="default" w:ascii="Times New Roman" w:hAnsi="Times New Roman" w:eastAsia="方正黑体_GBK" w:cs="Times New Roman"/>
          <w:b w:val="0"/>
          <w:bCs w:val="0"/>
          <w:snapToGrid/>
          <w:kern w:val="2"/>
          <w:sz w:val="32"/>
          <w:szCs w:val="32"/>
          <w:lang w:val="en-US" w:eastAsia="zh-CN" w:bidi="ar-SA"/>
        </w:rPr>
        <w:t>一、改造硬件设施</w:t>
      </w:r>
    </w:p>
    <w:p w14:paraId="4009978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（一）完善通风设施。</w:t>
      </w:r>
      <w:r>
        <w:rPr>
          <w:rFonts w:hint="default" w:ascii="Times New Roman" w:hAnsi="Times New Roman" w:eastAsia="方正仿宋_GBK" w:cs="Times New Roman"/>
          <w:snapToGrid/>
          <w:kern w:val="2"/>
          <w:sz w:val="32"/>
          <w:szCs w:val="32"/>
          <w:lang w:val="en-US" w:eastAsia="zh-CN" w:bidi="ar-SA"/>
        </w:rPr>
        <w:t>菜市内应具有良好的通风条件，市场运营方按环保要求设置与建筑面积相匹配的排风设备，保证经营场所空气流通顺畅。需温控的食品专间应配置相应的通风及温控设施。宰杀间、食品加工间内应配备独立的通风换气装置。</w:t>
      </w:r>
    </w:p>
    <w:p w14:paraId="1743D4D5">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（二）健全排水系统。</w:t>
      </w:r>
      <w:r>
        <w:rPr>
          <w:rFonts w:hint="default" w:ascii="Times New Roman" w:hAnsi="Times New Roman" w:eastAsia="方正仿宋_GBK" w:cs="Times New Roman"/>
          <w:snapToGrid/>
          <w:kern w:val="2"/>
          <w:sz w:val="32"/>
          <w:szCs w:val="32"/>
          <w:lang w:val="en-US" w:eastAsia="zh-CN" w:bidi="ar-SA"/>
        </w:rPr>
        <w:t>改造完善排水排污设施，合理布局沉井式暗渠(安管)排水系统，污水排放应符合环保要求，排水改造按照雨污分流原则进行，做到渠道通畅。</w:t>
      </w:r>
    </w:p>
    <w:p w14:paraId="4D2110A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（三）完善服务设施。</w:t>
      </w:r>
      <w:r>
        <w:rPr>
          <w:rFonts w:hint="default" w:ascii="Times New Roman" w:hAnsi="Times New Roman" w:eastAsia="方正仿宋_GBK" w:cs="Times New Roman"/>
          <w:snapToGrid/>
          <w:kern w:val="2"/>
          <w:sz w:val="32"/>
          <w:szCs w:val="32"/>
          <w:lang w:val="en-US" w:eastAsia="zh-CN" w:bidi="ar-SA"/>
        </w:rPr>
        <w:t>城区菜市设立市场服务管理办公室、监控室、24小时电子监控设施；督促合理设置服务台、广播设施、顾客休息区；设立宣传栏、公示栏、导图栏等服务设施；配备公平秤等相应设备，完善无障碍设施设备和特殊功能区设置，加强对特殊人群的关爱。</w:t>
      </w:r>
    </w:p>
    <w:p w14:paraId="6BF6FC3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b w:val="0"/>
          <w:bCs w:val="0"/>
          <w:snapToGrid/>
          <w:kern w:val="2"/>
          <w:sz w:val="32"/>
          <w:szCs w:val="32"/>
          <w:lang w:val="en-US" w:eastAsia="zh-CN" w:bidi="ar-SA"/>
        </w:rPr>
      </w:pPr>
      <w:r>
        <w:rPr>
          <w:rFonts w:hint="default" w:ascii="Times New Roman" w:hAnsi="Times New Roman" w:eastAsia="方正黑体_GBK" w:cs="Times New Roman"/>
          <w:b w:val="0"/>
          <w:bCs w:val="0"/>
          <w:snapToGrid/>
          <w:kern w:val="2"/>
          <w:sz w:val="32"/>
          <w:szCs w:val="32"/>
          <w:lang w:val="en-US" w:eastAsia="zh-CN" w:bidi="ar-SA"/>
        </w:rPr>
        <w:t>二、加强卫生保洁</w:t>
      </w:r>
    </w:p>
    <w:p w14:paraId="535184F8">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（一）规范垃圾处理。</w:t>
      </w:r>
      <w:r>
        <w:rPr>
          <w:rFonts w:hint="default" w:ascii="Times New Roman" w:hAnsi="Times New Roman" w:eastAsia="方正仿宋_GBK" w:cs="Times New Roman"/>
          <w:snapToGrid/>
          <w:kern w:val="2"/>
          <w:sz w:val="32"/>
          <w:szCs w:val="32"/>
          <w:lang w:val="en-US" w:eastAsia="zh-CN" w:bidi="ar-SA"/>
        </w:rPr>
        <w:t>菜市建立垃圾处理制度。严格落实垃圾分类要求，配置垃圾储运设施，及时收集、集中存放、及时清理确保场内购物环境整洁有序。</w:t>
      </w:r>
    </w:p>
    <w:p w14:paraId="5D2EA22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（二）加强清洁消杀。</w:t>
      </w:r>
      <w:r>
        <w:rPr>
          <w:rFonts w:hint="default" w:ascii="Times New Roman" w:hAnsi="Times New Roman" w:eastAsia="方正仿宋_GBK" w:cs="Times New Roman"/>
          <w:snapToGrid/>
          <w:kern w:val="2"/>
          <w:sz w:val="32"/>
          <w:szCs w:val="32"/>
          <w:lang w:val="en-US" w:eastAsia="zh-CN" w:bidi="ar-SA"/>
        </w:rPr>
        <w:t>菜市建立保洁制度，配齐保洁设备，定期进行环境清洁、定期开展卫生整治，确保市场外立面和内墙整洁，无乱挂乱贴等现象，保持市场地面干燥、清洁，场内无异味。</w:t>
      </w:r>
    </w:p>
    <w:p w14:paraId="620364A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（三）加强厕所保洁。</w:t>
      </w:r>
      <w:r>
        <w:rPr>
          <w:rFonts w:hint="default" w:ascii="Times New Roman" w:hAnsi="Times New Roman" w:eastAsia="方正仿宋_GBK" w:cs="Times New Roman"/>
          <w:snapToGrid/>
          <w:kern w:val="2"/>
          <w:sz w:val="32"/>
          <w:szCs w:val="32"/>
          <w:lang w:val="en-US" w:eastAsia="zh-CN" w:bidi="ar-SA"/>
        </w:rPr>
        <w:t>菜市加大公厕保洁管理力度，高峰时段加密保洁频次，做到无蚊蝇、无异味、无杂物。</w:t>
      </w:r>
    </w:p>
    <w:p w14:paraId="0CDDAAD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b w:val="0"/>
          <w:bCs w:val="0"/>
          <w:snapToGrid/>
          <w:kern w:val="2"/>
          <w:sz w:val="32"/>
          <w:szCs w:val="32"/>
          <w:lang w:val="en-US" w:eastAsia="zh-CN" w:bidi="ar-SA"/>
        </w:rPr>
      </w:pPr>
      <w:r>
        <w:rPr>
          <w:rFonts w:hint="default" w:ascii="Times New Roman" w:hAnsi="Times New Roman" w:eastAsia="方正黑体_GBK" w:cs="Times New Roman"/>
          <w:b w:val="0"/>
          <w:bCs w:val="0"/>
          <w:snapToGrid/>
          <w:kern w:val="2"/>
          <w:sz w:val="32"/>
          <w:szCs w:val="32"/>
          <w:lang w:val="en-US" w:eastAsia="zh-CN" w:bidi="ar-SA"/>
        </w:rPr>
        <w:t>三、规范秩序管理</w:t>
      </w:r>
    </w:p>
    <w:p w14:paraId="60A93DC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（一）推行划行规市。</w:t>
      </w:r>
      <w:r>
        <w:rPr>
          <w:rFonts w:hint="default" w:ascii="Times New Roman" w:hAnsi="Times New Roman" w:eastAsia="方正仿宋_GBK" w:cs="Times New Roman"/>
          <w:snapToGrid/>
          <w:kern w:val="2"/>
          <w:sz w:val="32"/>
          <w:szCs w:val="32"/>
          <w:lang w:val="en-US" w:eastAsia="zh-CN" w:bidi="ar-SA"/>
        </w:rPr>
        <w:t>按照商品种类划行归市合理设置蔬果、水产、禽类、肉类、干货等交易区，同类商品区域要相对集中，分区要标志清晰。科学布局面食净菜加工区，农户自产自销区，辅助生产区，公共服务区等功能区。严禁在市场内占道经营、乱摆乱卖。</w:t>
      </w:r>
    </w:p>
    <w:p w14:paraId="67F0C75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（二）规范停车管理。</w:t>
      </w:r>
      <w:r>
        <w:rPr>
          <w:rFonts w:hint="default" w:ascii="Times New Roman" w:hAnsi="Times New Roman" w:eastAsia="方正仿宋_GBK" w:cs="Times New Roman"/>
          <w:snapToGrid/>
          <w:kern w:val="2"/>
          <w:sz w:val="32"/>
          <w:szCs w:val="32"/>
          <w:lang w:val="en-US" w:eastAsia="zh-CN" w:bidi="ar-SA"/>
        </w:rPr>
        <w:t>合理规划机动车、非机动车停放场地，完善场地及菜市周边交通标识、标线；合理利用周边公共空间和路边资源，布设路内公共停车泊位，满足群众需求。督促市场开办者加大巡查力度，严查乱停乱放，加强消防安全管控，维护良好秩序。</w:t>
      </w:r>
    </w:p>
    <w:p w14:paraId="0AC1EFA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（三）引导文明经营。</w:t>
      </w:r>
      <w:r>
        <w:rPr>
          <w:rFonts w:hint="default" w:ascii="Times New Roman" w:hAnsi="Times New Roman" w:eastAsia="方正仿宋_GBK" w:cs="Times New Roman"/>
          <w:snapToGrid/>
          <w:kern w:val="2"/>
          <w:sz w:val="32"/>
          <w:szCs w:val="32"/>
          <w:lang w:val="en-US" w:eastAsia="zh-CN" w:bidi="ar-SA"/>
        </w:rPr>
        <w:t>经营户公平、诚实、守信经营。文明用语，礼貌待人，热情服务。严格落实“门前三包”责任制，推动垃圾袋装化，保持摊位(店面)干净、整洁。</w:t>
      </w:r>
    </w:p>
    <w:p w14:paraId="1AEC55ED">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（四）加强市场监管。</w:t>
      </w:r>
      <w:r>
        <w:rPr>
          <w:rFonts w:hint="default" w:ascii="Times New Roman" w:hAnsi="Times New Roman" w:eastAsia="方正仿宋_GBK" w:cs="Times New Roman"/>
          <w:snapToGrid/>
          <w:kern w:val="2"/>
          <w:sz w:val="32"/>
          <w:szCs w:val="32"/>
          <w:lang w:val="en-US" w:eastAsia="zh-CN" w:bidi="ar-SA"/>
        </w:rPr>
        <w:t>市场开办者落实主体责任，悬照亮证经营，做好食品安全、价格计量、消费维权等日常管理。构建公平竞争的市场环境。</w:t>
      </w:r>
    </w:p>
    <w:p w14:paraId="25E4FCE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楷体_GBK" w:cs="Times New Roman"/>
          <w:snapToGrid/>
          <w:kern w:val="2"/>
          <w:sz w:val="32"/>
          <w:szCs w:val="32"/>
          <w:lang w:val="en-US" w:eastAsia="zh-CN" w:bidi="ar-SA"/>
        </w:rPr>
        <w:t>（五）营造良好氛围。</w:t>
      </w:r>
      <w:r>
        <w:rPr>
          <w:rFonts w:hint="default" w:ascii="Times New Roman" w:hAnsi="Times New Roman" w:eastAsia="方正仿宋_GBK" w:cs="Times New Roman"/>
          <w:snapToGrid/>
          <w:kern w:val="2"/>
          <w:sz w:val="32"/>
          <w:szCs w:val="32"/>
          <w:lang w:val="en-US" w:eastAsia="zh-CN" w:bidi="ar-SA"/>
        </w:rPr>
        <w:t>培育经营户良好的社会信誉。通过开展优秀经营户或诚信经营户的评选表彰活动，通过宣传守法诚信经营典型，促进经营户提高自律意识，营造菜市诚信文明经营良好环境。</w:t>
      </w:r>
    </w:p>
    <w:p w14:paraId="7F17F6CC">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snapToGrid/>
          <w:kern w:val="2"/>
          <w:sz w:val="32"/>
          <w:szCs w:val="32"/>
          <w:lang w:val="en-US" w:eastAsia="zh-CN" w:bidi="ar-SA"/>
        </w:rPr>
        <w:sectPr>
          <w:pgSz w:w="11906" w:h="16838"/>
          <w:pgMar w:top="1962" w:right="1474" w:bottom="1848" w:left="1587" w:header="851" w:footer="992" w:gutter="0"/>
          <w:pgNumType w:fmt="numberInDash"/>
          <w:cols w:space="0" w:num="1"/>
          <w:rtlGutter w:val="0"/>
          <w:docGrid w:type="lines" w:linePitch="312" w:charSpace="0"/>
        </w:sectPr>
      </w:pPr>
    </w:p>
    <w:p w14:paraId="2BC850D5">
      <w:pPr>
        <w:widowControl w:val="0"/>
        <w:kinsoku/>
        <w:autoSpaceDE/>
        <w:autoSpaceDN/>
        <w:adjustRightInd/>
        <w:snapToGrid/>
        <w:spacing w:line="579" w:lineRule="exact"/>
        <w:jc w:val="center"/>
        <w:textAlignment w:val="auto"/>
        <w:rPr>
          <w:rFonts w:hint="default" w:ascii="Times New Roman" w:hAnsi="Times New Roman" w:eastAsia="方正小标宋_GBK" w:cs="Times New Roman"/>
          <w:snapToGrid/>
          <w:kern w:val="2"/>
          <w:sz w:val="44"/>
          <w:szCs w:val="44"/>
          <w:lang w:val="en-US" w:eastAsia="zh-CN" w:bidi="ar-SA"/>
        </w:rPr>
      </w:pPr>
    </w:p>
    <w:p w14:paraId="556BDAA5">
      <w:pPr>
        <w:widowControl w:val="0"/>
        <w:kinsoku/>
        <w:autoSpaceDE/>
        <w:autoSpaceDN/>
        <w:adjustRightInd/>
        <w:snapToGrid/>
        <w:spacing w:line="579" w:lineRule="exac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龙子湖区文明菜场提升改造任务分工</w:t>
      </w:r>
    </w:p>
    <w:tbl>
      <w:tblPr>
        <w:tblStyle w:val="10"/>
        <w:tblpPr w:leftFromText="180" w:rightFromText="180" w:vertAnchor="text" w:horzAnchor="page" w:tblpX="1596" w:tblpY="788"/>
        <w:tblOverlap w:val="never"/>
        <w:tblW w:w="899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1"/>
        <w:gridCol w:w="845"/>
        <w:gridCol w:w="1291"/>
        <w:gridCol w:w="750"/>
        <w:gridCol w:w="1139"/>
        <w:gridCol w:w="1070"/>
        <w:gridCol w:w="800"/>
        <w:gridCol w:w="1701"/>
        <w:gridCol w:w="840"/>
      </w:tblGrid>
      <w:tr w14:paraId="143693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6" w:hRule="atLeast"/>
        </w:trPr>
        <w:tc>
          <w:tcPr>
            <w:tcW w:w="561" w:type="dxa"/>
            <w:noWrap w:val="0"/>
            <w:vAlign w:val="center"/>
          </w:tcPr>
          <w:p w14:paraId="17ADCE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序号</w:t>
            </w:r>
          </w:p>
        </w:tc>
        <w:tc>
          <w:tcPr>
            <w:tcW w:w="845" w:type="dxa"/>
            <w:noWrap w:val="0"/>
            <w:vAlign w:val="center"/>
          </w:tcPr>
          <w:p w14:paraId="38B20D4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名称</w:t>
            </w:r>
          </w:p>
        </w:tc>
        <w:tc>
          <w:tcPr>
            <w:tcW w:w="1291" w:type="dxa"/>
            <w:noWrap w:val="0"/>
            <w:vAlign w:val="center"/>
          </w:tcPr>
          <w:p w14:paraId="2D3D003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地址</w:t>
            </w:r>
          </w:p>
        </w:tc>
        <w:tc>
          <w:tcPr>
            <w:tcW w:w="750" w:type="dxa"/>
            <w:tcBorders>
              <w:left w:val="single" w:color="auto" w:sz="4" w:space="0"/>
            </w:tcBorders>
            <w:noWrap w:val="0"/>
            <w:vAlign w:val="center"/>
          </w:tcPr>
          <w:p w14:paraId="39F8BA6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是否达标</w:t>
            </w:r>
          </w:p>
        </w:tc>
        <w:tc>
          <w:tcPr>
            <w:tcW w:w="1139" w:type="dxa"/>
            <w:tcBorders>
              <w:left w:val="single" w:color="auto" w:sz="4" w:space="0"/>
            </w:tcBorders>
            <w:noWrap w:val="0"/>
            <w:vAlign w:val="center"/>
          </w:tcPr>
          <w:p w14:paraId="24C423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是否属于市级标准化菜场</w:t>
            </w:r>
          </w:p>
        </w:tc>
        <w:tc>
          <w:tcPr>
            <w:tcW w:w="1070" w:type="dxa"/>
            <w:tcBorders>
              <w:left w:val="single" w:color="auto" w:sz="4" w:space="0"/>
            </w:tcBorders>
            <w:noWrap w:val="0"/>
            <w:vAlign w:val="center"/>
          </w:tcPr>
          <w:p w14:paraId="4E26C2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存在问题</w:t>
            </w:r>
          </w:p>
        </w:tc>
        <w:tc>
          <w:tcPr>
            <w:tcW w:w="800" w:type="dxa"/>
            <w:tcBorders>
              <w:right w:val="single" w:color="auto" w:sz="4" w:space="0"/>
            </w:tcBorders>
            <w:noWrap w:val="0"/>
            <w:vAlign w:val="center"/>
          </w:tcPr>
          <w:p w14:paraId="0D3866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整改方式</w:t>
            </w:r>
          </w:p>
        </w:tc>
        <w:tc>
          <w:tcPr>
            <w:tcW w:w="1701" w:type="dxa"/>
            <w:tcBorders>
              <w:right w:val="single" w:color="auto" w:sz="4" w:space="0"/>
            </w:tcBorders>
            <w:noWrap w:val="0"/>
            <w:vAlign w:val="center"/>
          </w:tcPr>
          <w:p w14:paraId="0D86466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责任单位</w:t>
            </w:r>
          </w:p>
        </w:tc>
        <w:tc>
          <w:tcPr>
            <w:tcW w:w="840" w:type="dxa"/>
            <w:tcBorders>
              <w:right w:val="single" w:color="auto" w:sz="4" w:space="0"/>
            </w:tcBorders>
            <w:noWrap w:val="0"/>
            <w:vAlign w:val="center"/>
          </w:tcPr>
          <w:p w14:paraId="132460B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黑体_GBK" w:cs="Times New Roman"/>
                <w:snapToGrid/>
                <w:kern w:val="2"/>
                <w:sz w:val="24"/>
                <w:szCs w:val="24"/>
                <w:lang w:val="en-US" w:eastAsia="zh-CN" w:bidi="ar-SA"/>
              </w:rPr>
            </w:pPr>
            <w:r>
              <w:rPr>
                <w:rFonts w:hint="default" w:ascii="Times New Roman" w:hAnsi="Times New Roman" w:eastAsia="方正黑体_GBK" w:cs="Times New Roman"/>
                <w:snapToGrid/>
                <w:kern w:val="2"/>
                <w:sz w:val="24"/>
                <w:szCs w:val="24"/>
                <w:lang w:val="en-US" w:eastAsia="zh-CN" w:bidi="ar-SA"/>
              </w:rPr>
              <w:t>完成时限</w:t>
            </w:r>
          </w:p>
        </w:tc>
      </w:tr>
      <w:tr w14:paraId="0E4AE6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30" w:hRule="atLeast"/>
        </w:trPr>
        <w:tc>
          <w:tcPr>
            <w:tcW w:w="561" w:type="dxa"/>
            <w:noWrap w:val="0"/>
            <w:vAlign w:val="center"/>
          </w:tcPr>
          <w:p w14:paraId="32138B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w:t>
            </w:r>
          </w:p>
        </w:tc>
        <w:tc>
          <w:tcPr>
            <w:tcW w:w="845" w:type="dxa"/>
            <w:noWrap w:val="0"/>
            <w:vAlign w:val="center"/>
          </w:tcPr>
          <w:p w14:paraId="76CAF8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新都农贸市场</w:t>
            </w:r>
          </w:p>
        </w:tc>
        <w:tc>
          <w:tcPr>
            <w:tcW w:w="1291" w:type="dxa"/>
            <w:noWrap w:val="0"/>
            <w:vAlign w:val="center"/>
          </w:tcPr>
          <w:p w14:paraId="4DE3BD9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安徽省蚌埠市新都花园11号楼底层农贸市场</w:t>
            </w:r>
          </w:p>
        </w:tc>
        <w:tc>
          <w:tcPr>
            <w:tcW w:w="750" w:type="dxa"/>
            <w:tcBorders>
              <w:left w:val="single" w:color="auto" w:sz="4" w:space="0"/>
            </w:tcBorders>
            <w:noWrap w:val="0"/>
            <w:vAlign w:val="center"/>
          </w:tcPr>
          <w:p w14:paraId="5C2C50B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left w:val="single" w:color="auto" w:sz="4" w:space="0"/>
            </w:tcBorders>
            <w:noWrap w:val="0"/>
            <w:vAlign w:val="center"/>
          </w:tcPr>
          <w:p w14:paraId="0501ACB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070" w:type="dxa"/>
            <w:tcBorders>
              <w:left w:val="single" w:color="auto" w:sz="4" w:space="0"/>
            </w:tcBorders>
            <w:noWrap w:val="0"/>
            <w:vAlign w:val="center"/>
          </w:tcPr>
          <w:p w14:paraId="0A8D958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硬件设施、卫生保洁、秩序管理不达标</w:t>
            </w:r>
          </w:p>
        </w:tc>
        <w:tc>
          <w:tcPr>
            <w:tcW w:w="800" w:type="dxa"/>
            <w:tcBorders>
              <w:right w:val="single" w:color="auto" w:sz="4" w:space="0"/>
            </w:tcBorders>
            <w:noWrap w:val="0"/>
            <w:vAlign w:val="center"/>
          </w:tcPr>
          <w:p w14:paraId="3B8152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整体改造</w:t>
            </w:r>
          </w:p>
        </w:tc>
        <w:tc>
          <w:tcPr>
            <w:tcW w:w="1701" w:type="dxa"/>
            <w:tcBorders>
              <w:right w:val="single" w:color="auto" w:sz="4" w:space="0"/>
            </w:tcBorders>
            <w:noWrap w:val="0"/>
            <w:vAlign w:val="center"/>
          </w:tcPr>
          <w:p w14:paraId="2BAFF7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曹山街道、区商务外事局、区住建局、区消防大队、区市场局、区城管局、区财政局</w:t>
            </w:r>
          </w:p>
        </w:tc>
        <w:tc>
          <w:tcPr>
            <w:tcW w:w="840" w:type="dxa"/>
            <w:tcBorders>
              <w:right w:val="single" w:color="auto" w:sz="4" w:space="0"/>
            </w:tcBorders>
            <w:noWrap w:val="0"/>
            <w:vAlign w:val="center"/>
          </w:tcPr>
          <w:p w14:paraId="0FAF18A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72AB0E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10" w:hRule="atLeast"/>
        </w:trPr>
        <w:tc>
          <w:tcPr>
            <w:tcW w:w="561" w:type="dxa"/>
            <w:tcBorders>
              <w:bottom w:val="single" w:color="auto" w:sz="4" w:space="0"/>
            </w:tcBorders>
            <w:noWrap w:val="0"/>
            <w:vAlign w:val="center"/>
          </w:tcPr>
          <w:p w14:paraId="251155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w:t>
            </w:r>
          </w:p>
        </w:tc>
        <w:tc>
          <w:tcPr>
            <w:tcW w:w="845" w:type="dxa"/>
            <w:tcBorders>
              <w:bottom w:val="single" w:color="auto" w:sz="4" w:space="0"/>
            </w:tcBorders>
            <w:noWrap w:val="0"/>
            <w:vAlign w:val="center"/>
          </w:tcPr>
          <w:p w14:paraId="4D0F98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新淮综合市场</w:t>
            </w:r>
          </w:p>
        </w:tc>
        <w:tc>
          <w:tcPr>
            <w:tcW w:w="1291" w:type="dxa"/>
            <w:tcBorders>
              <w:bottom w:val="single" w:color="auto" w:sz="4" w:space="0"/>
            </w:tcBorders>
            <w:noWrap w:val="0"/>
            <w:vAlign w:val="center"/>
          </w:tcPr>
          <w:p w14:paraId="4D3BE91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蚌埠市龙子湖区解放二路中段</w:t>
            </w:r>
          </w:p>
        </w:tc>
        <w:tc>
          <w:tcPr>
            <w:tcW w:w="750" w:type="dxa"/>
            <w:tcBorders>
              <w:left w:val="single" w:color="auto" w:sz="4" w:space="0"/>
              <w:bottom w:val="single" w:color="auto" w:sz="4" w:space="0"/>
            </w:tcBorders>
            <w:noWrap w:val="0"/>
            <w:vAlign w:val="center"/>
          </w:tcPr>
          <w:p w14:paraId="76725C0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left w:val="single" w:color="auto" w:sz="4" w:space="0"/>
              <w:bottom w:val="single" w:color="auto" w:sz="4" w:space="0"/>
            </w:tcBorders>
            <w:noWrap w:val="0"/>
            <w:vAlign w:val="center"/>
          </w:tcPr>
          <w:p w14:paraId="6351A6A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070" w:type="dxa"/>
            <w:tcBorders>
              <w:left w:val="single" w:color="auto" w:sz="4" w:space="0"/>
              <w:bottom w:val="single" w:color="auto" w:sz="4" w:space="0"/>
            </w:tcBorders>
            <w:noWrap w:val="0"/>
            <w:vAlign w:val="center"/>
          </w:tcPr>
          <w:p w14:paraId="7D57CE5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硬件设施、卫生保洁、秩序管理不达标</w:t>
            </w:r>
          </w:p>
        </w:tc>
        <w:tc>
          <w:tcPr>
            <w:tcW w:w="800" w:type="dxa"/>
            <w:tcBorders>
              <w:bottom w:val="single" w:color="auto" w:sz="4" w:space="0"/>
              <w:right w:val="single" w:color="auto" w:sz="4" w:space="0"/>
            </w:tcBorders>
            <w:noWrap w:val="0"/>
            <w:vAlign w:val="center"/>
          </w:tcPr>
          <w:p w14:paraId="4354A6D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整体改造</w:t>
            </w:r>
          </w:p>
        </w:tc>
        <w:tc>
          <w:tcPr>
            <w:tcW w:w="1701" w:type="dxa"/>
            <w:tcBorders>
              <w:bottom w:val="single" w:color="auto" w:sz="4" w:space="0"/>
              <w:right w:val="single" w:color="auto" w:sz="4" w:space="0"/>
            </w:tcBorders>
            <w:noWrap w:val="0"/>
            <w:vAlign w:val="center"/>
          </w:tcPr>
          <w:p w14:paraId="26146F0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东升街道、区商务外事局、区住建局、区消防大队、区市场局、区城管局、区财政局</w:t>
            </w:r>
          </w:p>
        </w:tc>
        <w:tc>
          <w:tcPr>
            <w:tcW w:w="840" w:type="dxa"/>
            <w:tcBorders>
              <w:bottom w:val="single" w:color="auto" w:sz="4" w:space="0"/>
              <w:right w:val="single" w:color="auto" w:sz="4" w:space="0"/>
            </w:tcBorders>
            <w:noWrap w:val="0"/>
            <w:vAlign w:val="center"/>
          </w:tcPr>
          <w:p w14:paraId="7FA54B4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2022年底</w:t>
            </w:r>
          </w:p>
        </w:tc>
      </w:tr>
      <w:tr w14:paraId="1EDDA3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00" w:hRule="atLeast"/>
        </w:trPr>
        <w:tc>
          <w:tcPr>
            <w:tcW w:w="561" w:type="dxa"/>
            <w:tcBorders>
              <w:top w:val="single" w:color="auto" w:sz="4" w:space="0"/>
              <w:bottom w:val="single" w:color="auto" w:sz="4" w:space="0"/>
            </w:tcBorders>
            <w:noWrap w:val="0"/>
            <w:vAlign w:val="center"/>
          </w:tcPr>
          <w:p w14:paraId="7B4538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3</w:t>
            </w:r>
          </w:p>
        </w:tc>
        <w:tc>
          <w:tcPr>
            <w:tcW w:w="845" w:type="dxa"/>
            <w:tcBorders>
              <w:top w:val="single" w:color="auto" w:sz="4" w:space="0"/>
              <w:bottom w:val="single" w:color="auto" w:sz="4" w:space="0"/>
            </w:tcBorders>
            <w:noWrap w:val="0"/>
            <w:vAlign w:val="center"/>
          </w:tcPr>
          <w:p w14:paraId="4D84D9F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二钢农贸市场</w:t>
            </w:r>
          </w:p>
        </w:tc>
        <w:tc>
          <w:tcPr>
            <w:tcW w:w="1291" w:type="dxa"/>
            <w:tcBorders>
              <w:top w:val="single" w:color="auto" w:sz="4" w:space="0"/>
              <w:bottom w:val="single" w:color="auto" w:sz="4" w:space="0"/>
            </w:tcBorders>
            <w:noWrap w:val="0"/>
            <w:vAlign w:val="center"/>
          </w:tcPr>
          <w:p w14:paraId="37D641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安徽省蚌埠市新淮路天祥家园农贸市场一层市场部分</w:t>
            </w:r>
          </w:p>
        </w:tc>
        <w:tc>
          <w:tcPr>
            <w:tcW w:w="750" w:type="dxa"/>
            <w:tcBorders>
              <w:top w:val="single" w:color="auto" w:sz="4" w:space="0"/>
              <w:left w:val="single" w:color="auto" w:sz="4" w:space="0"/>
              <w:bottom w:val="single" w:color="auto" w:sz="4" w:space="0"/>
            </w:tcBorders>
            <w:noWrap w:val="0"/>
            <w:vAlign w:val="center"/>
          </w:tcPr>
          <w:p w14:paraId="088251D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430FCFB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070" w:type="dxa"/>
            <w:tcBorders>
              <w:top w:val="single" w:color="auto" w:sz="4" w:space="0"/>
              <w:left w:val="single" w:color="auto" w:sz="4" w:space="0"/>
              <w:bottom w:val="single" w:color="auto" w:sz="4" w:space="0"/>
            </w:tcBorders>
            <w:noWrap w:val="0"/>
            <w:vAlign w:val="center"/>
          </w:tcPr>
          <w:p w14:paraId="145AF7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硬件设施、卫生保洁、秩序管理不达标</w:t>
            </w:r>
          </w:p>
        </w:tc>
        <w:tc>
          <w:tcPr>
            <w:tcW w:w="800" w:type="dxa"/>
            <w:tcBorders>
              <w:top w:val="single" w:color="auto" w:sz="4" w:space="0"/>
              <w:bottom w:val="single" w:color="auto" w:sz="4" w:space="0"/>
              <w:right w:val="single" w:color="auto" w:sz="4" w:space="0"/>
            </w:tcBorders>
            <w:noWrap w:val="0"/>
            <w:vAlign w:val="center"/>
          </w:tcPr>
          <w:p w14:paraId="019322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整体改造</w:t>
            </w:r>
          </w:p>
        </w:tc>
        <w:tc>
          <w:tcPr>
            <w:tcW w:w="1701" w:type="dxa"/>
            <w:tcBorders>
              <w:top w:val="single" w:color="auto" w:sz="4" w:space="0"/>
              <w:bottom w:val="single" w:color="auto" w:sz="4" w:space="0"/>
              <w:right w:val="single" w:color="auto" w:sz="4" w:space="0"/>
            </w:tcBorders>
            <w:noWrap w:val="0"/>
            <w:vAlign w:val="center"/>
          </w:tcPr>
          <w:p w14:paraId="728C14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解放街道、区商务外事局、区住建局、区消防大队、区市场局、区城管局、区财政局</w:t>
            </w:r>
          </w:p>
        </w:tc>
        <w:tc>
          <w:tcPr>
            <w:tcW w:w="840" w:type="dxa"/>
            <w:tcBorders>
              <w:top w:val="single" w:color="auto" w:sz="4" w:space="0"/>
              <w:bottom w:val="single" w:color="auto" w:sz="4" w:space="0"/>
              <w:right w:val="single" w:color="auto" w:sz="4" w:space="0"/>
            </w:tcBorders>
            <w:noWrap w:val="0"/>
            <w:vAlign w:val="center"/>
          </w:tcPr>
          <w:p w14:paraId="753D46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6F853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30" w:hRule="atLeast"/>
        </w:trPr>
        <w:tc>
          <w:tcPr>
            <w:tcW w:w="561" w:type="dxa"/>
            <w:tcBorders>
              <w:top w:val="single" w:color="auto" w:sz="4" w:space="0"/>
              <w:bottom w:val="single" w:color="auto" w:sz="4" w:space="0"/>
            </w:tcBorders>
            <w:noWrap w:val="0"/>
            <w:vAlign w:val="center"/>
          </w:tcPr>
          <w:p w14:paraId="293AD41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4</w:t>
            </w:r>
          </w:p>
        </w:tc>
        <w:tc>
          <w:tcPr>
            <w:tcW w:w="845" w:type="dxa"/>
            <w:tcBorders>
              <w:top w:val="single" w:color="auto" w:sz="4" w:space="0"/>
              <w:bottom w:val="single" w:color="auto" w:sz="4" w:space="0"/>
            </w:tcBorders>
            <w:noWrap w:val="0"/>
            <w:vAlign w:val="center"/>
          </w:tcPr>
          <w:p w14:paraId="7A29B06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龙湖嘉园农贸市场</w:t>
            </w:r>
          </w:p>
        </w:tc>
        <w:tc>
          <w:tcPr>
            <w:tcW w:w="1291" w:type="dxa"/>
            <w:tcBorders>
              <w:top w:val="single" w:color="auto" w:sz="4" w:space="0"/>
              <w:bottom w:val="single" w:color="auto" w:sz="4" w:space="0"/>
            </w:tcBorders>
            <w:noWrap w:val="0"/>
            <w:vAlign w:val="center"/>
          </w:tcPr>
          <w:p w14:paraId="594453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龙子湖区望湖路638号</w:t>
            </w:r>
          </w:p>
        </w:tc>
        <w:tc>
          <w:tcPr>
            <w:tcW w:w="750" w:type="dxa"/>
            <w:tcBorders>
              <w:top w:val="single" w:color="auto" w:sz="4" w:space="0"/>
              <w:left w:val="single" w:color="auto" w:sz="4" w:space="0"/>
              <w:bottom w:val="single" w:color="auto" w:sz="4" w:space="0"/>
            </w:tcBorders>
            <w:noWrap w:val="0"/>
            <w:vAlign w:val="center"/>
          </w:tcPr>
          <w:p w14:paraId="09836C0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68C427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070" w:type="dxa"/>
            <w:tcBorders>
              <w:top w:val="single" w:color="auto" w:sz="4" w:space="0"/>
              <w:left w:val="single" w:color="auto" w:sz="4" w:space="0"/>
              <w:bottom w:val="single" w:color="auto" w:sz="4" w:space="0"/>
            </w:tcBorders>
            <w:noWrap w:val="0"/>
            <w:vAlign w:val="center"/>
          </w:tcPr>
          <w:p w14:paraId="5BFF34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硬件设施、卫生保洁、秩序管理不达标</w:t>
            </w:r>
          </w:p>
        </w:tc>
        <w:tc>
          <w:tcPr>
            <w:tcW w:w="800" w:type="dxa"/>
            <w:tcBorders>
              <w:top w:val="single" w:color="auto" w:sz="4" w:space="0"/>
              <w:bottom w:val="single" w:color="auto" w:sz="4" w:space="0"/>
              <w:right w:val="single" w:color="auto" w:sz="4" w:space="0"/>
            </w:tcBorders>
            <w:noWrap w:val="0"/>
            <w:vAlign w:val="center"/>
          </w:tcPr>
          <w:p w14:paraId="2C2CED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整体改造</w:t>
            </w:r>
          </w:p>
        </w:tc>
        <w:tc>
          <w:tcPr>
            <w:tcW w:w="1701" w:type="dxa"/>
            <w:tcBorders>
              <w:top w:val="single" w:color="auto" w:sz="4" w:space="0"/>
              <w:bottom w:val="single" w:color="auto" w:sz="4" w:space="0"/>
              <w:right w:val="single" w:color="auto" w:sz="4" w:space="0"/>
            </w:tcBorders>
            <w:noWrap w:val="0"/>
            <w:vAlign w:val="center"/>
          </w:tcPr>
          <w:p w14:paraId="4F76167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东风街道、区商务外事局、区住建局、区消防大队、区市场局、区城管局、区财政局</w:t>
            </w:r>
          </w:p>
        </w:tc>
        <w:tc>
          <w:tcPr>
            <w:tcW w:w="840" w:type="dxa"/>
            <w:tcBorders>
              <w:top w:val="single" w:color="auto" w:sz="4" w:space="0"/>
              <w:bottom w:val="single" w:color="auto" w:sz="4" w:space="0"/>
              <w:right w:val="single" w:color="auto" w:sz="4" w:space="0"/>
            </w:tcBorders>
            <w:noWrap w:val="0"/>
            <w:vAlign w:val="center"/>
          </w:tcPr>
          <w:p w14:paraId="109DD2A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2022年底</w:t>
            </w:r>
          </w:p>
        </w:tc>
      </w:tr>
      <w:tr w14:paraId="7A840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561" w:type="dxa"/>
            <w:tcBorders>
              <w:top w:val="single" w:color="auto" w:sz="4" w:space="0"/>
              <w:bottom w:val="single" w:color="auto" w:sz="4" w:space="0"/>
            </w:tcBorders>
            <w:noWrap w:val="0"/>
            <w:vAlign w:val="center"/>
          </w:tcPr>
          <w:p w14:paraId="292D000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5</w:t>
            </w:r>
          </w:p>
        </w:tc>
        <w:tc>
          <w:tcPr>
            <w:tcW w:w="845" w:type="dxa"/>
            <w:tcBorders>
              <w:top w:val="single" w:color="auto" w:sz="4" w:space="0"/>
              <w:bottom w:val="single" w:color="auto" w:sz="4" w:space="0"/>
            </w:tcBorders>
            <w:noWrap w:val="0"/>
            <w:vAlign w:val="center"/>
          </w:tcPr>
          <w:p w14:paraId="1BDC74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香榭兰庭农贸市场</w:t>
            </w:r>
          </w:p>
        </w:tc>
        <w:tc>
          <w:tcPr>
            <w:tcW w:w="1291" w:type="dxa"/>
            <w:tcBorders>
              <w:top w:val="single" w:color="auto" w:sz="4" w:space="0"/>
              <w:bottom w:val="single" w:color="auto" w:sz="4" w:space="0"/>
            </w:tcBorders>
            <w:noWrap w:val="0"/>
            <w:vAlign w:val="center"/>
          </w:tcPr>
          <w:p w14:paraId="0FC4603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安徽省蚌埠市解放路与淮河路交叉口香榭兰庭农贸市场一层</w:t>
            </w:r>
          </w:p>
        </w:tc>
        <w:tc>
          <w:tcPr>
            <w:tcW w:w="750" w:type="dxa"/>
            <w:tcBorders>
              <w:top w:val="single" w:color="auto" w:sz="4" w:space="0"/>
              <w:left w:val="single" w:color="auto" w:sz="4" w:space="0"/>
              <w:bottom w:val="single" w:color="auto" w:sz="4" w:space="0"/>
            </w:tcBorders>
            <w:noWrap w:val="0"/>
            <w:vAlign w:val="center"/>
          </w:tcPr>
          <w:p w14:paraId="7F30C9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15B66D7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是</w:t>
            </w:r>
          </w:p>
        </w:tc>
        <w:tc>
          <w:tcPr>
            <w:tcW w:w="1070" w:type="dxa"/>
            <w:tcBorders>
              <w:top w:val="single" w:color="auto" w:sz="4" w:space="0"/>
              <w:left w:val="single" w:color="auto" w:sz="4" w:space="0"/>
              <w:bottom w:val="single" w:color="auto" w:sz="4" w:space="0"/>
            </w:tcBorders>
            <w:noWrap w:val="0"/>
            <w:vAlign w:val="center"/>
          </w:tcPr>
          <w:p w14:paraId="19FD4C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秩序管理不达标</w:t>
            </w:r>
          </w:p>
        </w:tc>
        <w:tc>
          <w:tcPr>
            <w:tcW w:w="800" w:type="dxa"/>
            <w:tcBorders>
              <w:top w:val="single" w:color="auto" w:sz="4" w:space="0"/>
              <w:bottom w:val="single" w:color="auto" w:sz="4" w:space="0"/>
              <w:right w:val="single" w:color="auto" w:sz="4" w:space="0"/>
            </w:tcBorders>
            <w:noWrap w:val="0"/>
            <w:vAlign w:val="center"/>
          </w:tcPr>
          <w:p w14:paraId="44D574C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对照标准整改</w:t>
            </w:r>
          </w:p>
        </w:tc>
        <w:tc>
          <w:tcPr>
            <w:tcW w:w="1701" w:type="dxa"/>
            <w:tcBorders>
              <w:top w:val="single" w:color="auto" w:sz="4" w:space="0"/>
              <w:bottom w:val="single" w:color="auto" w:sz="4" w:space="0"/>
              <w:right w:val="single" w:color="auto" w:sz="4" w:space="0"/>
            </w:tcBorders>
            <w:noWrap w:val="0"/>
            <w:vAlign w:val="center"/>
          </w:tcPr>
          <w:p w14:paraId="5A191C4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曹山街道、区市场局、区城管局</w:t>
            </w:r>
          </w:p>
        </w:tc>
        <w:tc>
          <w:tcPr>
            <w:tcW w:w="840" w:type="dxa"/>
            <w:tcBorders>
              <w:top w:val="single" w:color="auto" w:sz="4" w:space="0"/>
              <w:bottom w:val="single" w:color="auto" w:sz="4" w:space="0"/>
              <w:right w:val="single" w:color="auto" w:sz="4" w:space="0"/>
            </w:tcBorders>
            <w:noWrap w:val="0"/>
            <w:vAlign w:val="center"/>
          </w:tcPr>
          <w:p w14:paraId="7C070AC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13885E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60" w:hRule="atLeast"/>
        </w:trPr>
        <w:tc>
          <w:tcPr>
            <w:tcW w:w="561" w:type="dxa"/>
            <w:tcBorders>
              <w:top w:val="single" w:color="auto" w:sz="4" w:space="0"/>
              <w:bottom w:val="single" w:color="auto" w:sz="4" w:space="0"/>
            </w:tcBorders>
            <w:noWrap w:val="0"/>
            <w:vAlign w:val="center"/>
          </w:tcPr>
          <w:p w14:paraId="4727F31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6</w:t>
            </w:r>
          </w:p>
        </w:tc>
        <w:tc>
          <w:tcPr>
            <w:tcW w:w="845" w:type="dxa"/>
            <w:tcBorders>
              <w:top w:val="single" w:color="auto" w:sz="4" w:space="0"/>
              <w:bottom w:val="single" w:color="auto" w:sz="4" w:space="0"/>
            </w:tcBorders>
            <w:noWrap w:val="0"/>
            <w:vAlign w:val="center"/>
          </w:tcPr>
          <w:p w14:paraId="0380CB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余庆苑市场</w:t>
            </w:r>
          </w:p>
        </w:tc>
        <w:tc>
          <w:tcPr>
            <w:tcW w:w="1291" w:type="dxa"/>
            <w:tcBorders>
              <w:top w:val="single" w:color="auto" w:sz="4" w:space="0"/>
              <w:bottom w:val="single" w:color="auto" w:sz="4" w:space="0"/>
            </w:tcBorders>
            <w:noWrap w:val="0"/>
            <w:vAlign w:val="center"/>
          </w:tcPr>
          <w:p w14:paraId="306041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安徽省蚌埠市龙子湖区余庆苑小区6号楼下</w:t>
            </w:r>
          </w:p>
        </w:tc>
        <w:tc>
          <w:tcPr>
            <w:tcW w:w="750" w:type="dxa"/>
            <w:tcBorders>
              <w:top w:val="single" w:color="auto" w:sz="4" w:space="0"/>
              <w:left w:val="single" w:color="auto" w:sz="4" w:space="0"/>
              <w:bottom w:val="single" w:color="auto" w:sz="4" w:space="0"/>
            </w:tcBorders>
            <w:noWrap w:val="0"/>
            <w:vAlign w:val="center"/>
          </w:tcPr>
          <w:p w14:paraId="513E38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2984C7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是</w:t>
            </w:r>
          </w:p>
        </w:tc>
        <w:tc>
          <w:tcPr>
            <w:tcW w:w="1070" w:type="dxa"/>
            <w:tcBorders>
              <w:top w:val="single" w:color="auto" w:sz="4" w:space="0"/>
              <w:left w:val="single" w:color="auto" w:sz="4" w:space="0"/>
              <w:bottom w:val="single" w:color="auto" w:sz="4" w:space="0"/>
            </w:tcBorders>
            <w:noWrap w:val="0"/>
            <w:vAlign w:val="center"/>
          </w:tcPr>
          <w:p w14:paraId="195404E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秩序管理不达标</w:t>
            </w:r>
          </w:p>
        </w:tc>
        <w:tc>
          <w:tcPr>
            <w:tcW w:w="800" w:type="dxa"/>
            <w:tcBorders>
              <w:top w:val="single" w:color="auto" w:sz="4" w:space="0"/>
              <w:bottom w:val="single" w:color="auto" w:sz="4" w:space="0"/>
              <w:right w:val="single" w:color="auto" w:sz="4" w:space="0"/>
            </w:tcBorders>
            <w:noWrap w:val="0"/>
            <w:vAlign w:val="center"/>
          </w:tcPr>
          <w:p w14:paraId="322F964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对照标准整改</w:t>
            </w:r>
          </w:p>
        </w:tc>
        <w:tc>
          <w:tcPr>
            <w:tcW w:w="1701" w:type="dxa"/>
            <w:tcBorders>
              <w:top w:val="single" w:color="auto" w:sz="4" w:space="0"/>
              <w:bottom w:val="single" w:color="auto" w:sz="4" w:space="0"/>
              <w:right w:val="single" w:color="auto" w:sz="4" w:space="0"/>
            </w:tcBorders>
            <w:noWrap w:val="0"/>
            <w:vAlign w:val="center"/>
          </w:tcPr>
          <w:p w14:paraId="273AF6A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东风街道、区市场局、区城管局</w:t>
            </w:r>
          </w:p>
        </w:tc>
        <w:tc>
          <w:tcPr>
            <w:tcW w:w="840" w:type="dxa"/>
            <w:tcBorders>
              <w:top w:val="single" w:color="auto" w:sz="4" w:space="0"/>
              <w:bottom w:val="single" w:color="auto" w:sz="4" w:space="0"/>
              <w:right w:val="single" w:color="auto" w:sz="4" w:space="0"/>
            </w:tcBorders>
            <w:noWrap w:val="0"/>
            <w:vAlign w:val="center"/>
          </w:tcPr>
          <w:p w14:paraId="07A6A7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5AB18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10" w:hRule="atLeast"/>
        </w:trPr>
        <w:tc>
          <w:tcPr>
            <w:tcW w:w="561" w:type="dxa"/>
            <w:tcBorders>
              <w:top w:val="single" w:color="auto" w:sz="4" w:space="0"/>
              <w:bottom w:val="single" w:color="auto" w:sz="4" w:space="0"/>
            </w:tcBorders>
            <w:noWrap w:val="0"/>
            <w:vAlign w:val="center"/>
          </w:tcPr>
          <w:p w14:paraId="4235FE3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7</w:t>
            </w:r>
          </w:p>
        </w:tc>
        <w:tc>
          <w:tcPr>
            <w:tcW w:w="845" w:type="dxa"/>
            <w:tcBorders>
              <w:top w:val="single" w:color="auto" w:sz="4" w:space="0"/>
              <w:bottom w:val="single" w:color="auto" w:sz="4" w:space="0"/>
            </w:tcBorders>
            <w:noWrap w:val="0"/>
            <w:vAlign w:val="center"/>
          </w:tcPr>
          <w:p w14:paraId="0CD49A0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延安北路农贸市场</w:t>
            </w:r>
          </w:p>
        </w:tc>
        <w:tc>
          <w:tcPr>
            <w:tcW w:w="1291" w:type="dxa"/>
            <w:tcBorders>
              <w:top w:val="single" w:color="auto" w:sz="4" w:space="0"/>
              <w:bottom w:val="single" w:color="auto" w:sz="4" w:space="0"/>
            </w:tcBorders>
            <w:noWrap w:val="0"/>
            <w:vAlign w:val="center"/>
          </w:tcPr>
          <w:p w14:paraId="3B00E1D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延安北路滨河外滩花园小区内会所</w:t>
            </w:r>
          </w:p>
        </w:tc>
        <w:tc>
          <w:tcPr>
            <w:tcW w:w="750" w:type="dxa"/>
            <w:tcBorders>
              <w:top w:val="single" w:color="auto" w:sz="4" w:space="0"/>
              <w:left w:val="single" w:color="auto" w:sz="4" w:space="0"/>
              <w:bottom w:val="single" w:color="auto" w:sz="4" w:space="0"/>
            </w:tcBorders>
            <w:noWrap w:val="0"/>
            <w:vAlign w:val="center"/>
          </w:tcPr>
          <w:p w14:paraId="3E512F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76E25E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是</w:t>
            </w:r>
          </w:p>
        </w:tc>
        <w:tc>
          <w:tcPr>
            <w:tcW w:w="1070" w:type="dxa"/>
            <w:tcBorders>
              <w:top w:val="single" w:color="auto" w:sz="4" w:space="0"/>
              <w:left w:val="single" w:color="auto" w:sz="4" w:space="0"/>
              <w:bottom w:val="single" w:color="auto" w:sz="4" w:space="0"/>
            </w:tcBorders>
            <w:noWrap w:val="0"/>
            <w:vAlign w:val="center"/>
          </w:tcPr>
          <w:p w14:paraId="5AA1BA6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卫生保洁、秩序管理不达标</w:t>
            </w:r>
          </w:p>
        </w:tc>
        <w:tc>
          <w:tcPr>
            <w:tcW w:w="800" w:type="dxa"/>
            <w:tcBorders>
              <w:top w:val="single" w:color="auto" w:sz="4" w:space="0"/>
              <w:bottom w:val="single" w:color="auto" w:sz="4" w:space="0"/>
              <w:right w:val="single" w:color="auto" w:sz="4" w:space="0"/>
            </w:tcBorders>
            <w:noWrap w:val="0"/>
            <w:vAlign w:val="center"/>
          </w:tcPr>
          <w:p w14:paraId="380CAF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对照标准整改</w:t>
            </w:r>
          </w:p>
        </w:tc>
        <w:tc>
          <w:tcPr>
            <w:tcW w:w="1701" w:type="dxa"/>
            <w:tcBorders>
              <w:top w:val="single" w:color="auto" w:sz="4" w:space="0"/>
              <w:bottom w:val="single" w:color="auto" w:sz="4" w:space="0"/>
              <w:right w:val="single" w:color="auto" w:sz="4" w:space="0"/>
            </w:tcBorders>
            <w:noWrap w:val="0"/>
            <w:vAlign w:val="center"/>
          </w:tcPr>
          <w:p w14:paraId="44F8F9F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治淮街道、区市场局、区城管局</w:t>
            </w:r>
          </w:p>
        </w:tc>
        <w:tc>
          <w:tcPr>
            <w:tcW w:w="840" w:type="dxa"/>
            <w:tcBorders>
              <w:top w:val="single" w:color="auto" w:sz="4" w:space="0"/>
              <w:bottom w:val="single" w:color="auto" w:sz="4" w:space="0"/>
              <w:right w:val="single" w:color="auto" w:sz="4" w:space="0"/>
            </w:tcBorders>
            <w:noWrap w:val="0"/>
            <w:vAlign w:val="center"/>
          </w:tcPr>
          <w:p w14:paraId="5F97402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5C4518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0" w:hRule="atLeast"/>
        </w:trPr>
        <w:tc>
          <w:tcPr>
            <w:tcW w:w="561" w:type="dxa"/>
            <w:tcBorders>
              <w:top w:val="single" w:color="auto" w:sz="4" w:space="0"/>
              <w:bottom w:val="single" w:color="auto" w:sz="4" w:space="0"/>
            </w:tcBorders>
            <w:noWrap w:val="0"/>
            <w:vAlign w:val="center"/>
          </w:tcPr>
          <w:p w14:paraId="2D34069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8</w:t>
            </w:r>
          </w:p>
        </w:tc>
        <w:tc>
          <w:tcPr>
            <w:tcW w:w="845" w:type="dxa"/>
            <w:tcBorders>
              <w:top w:val="single" w:color="auto" w:sz="4" w:space="0"/>
              <w:bottom w:val="single" w:color="auto" w:sz="4" w:space="0"/>
            </w:tcBorders>
            <w:noWrap w:val="0"/>
            <w:vAlign w:val="center"/>
          </w:tcPr>
          <w:p w14:paraId="1CAE276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群力街市场</w:t>
            </w:r>
          </w:p>
        </w:tc>
        <w:tc>
          <w:tcPr>
            <w:tcW w:w="1291" w:type="dxa"/>
            <w:tcBorders>
              <w:top w:val="single" w:color="auto" w:sz="4" w:space="0"/>
              <w:bottom w:val="single" w:color="auto" w:sz="4" w:space="0"/>
            </w:tcBorders>
            <w:noWrap w:val="0"/>
            <w:vAlign w:val="center"/>
          </w:tcPr>
          <w:p w14:paraId="1E6CDD6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安徽省蚌埠市群力街88号</w:t>
            </w:r>
          </w:p>
        </w:tc>
        <w:tc>
          <w:tcPr>
            <w:tcW w:w="750" w:type="dxa"/>
            <w:tcBorders>
              <w:top w:val="single" w:color="auto" w:sz="4" w:space="0"/>
              <w:left w:val="single" w:color="auto" w:sz="4" w:space="0"/>
              <w:bottom w:val="single" w:color="auto" w:sz="4" w:space="0"/>
            </w:tcBorders>
            <w:noWrap w:val="0"/>
            <w:vAlign w:val="center"/>
          </w:tcPr>
          <w:p w14:paraId="4E353D0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3285CBA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是</w:t>
            </w:r>
          </w:p>
        </w:tc>
        <w:tc>
          <w:tcPr>
            <w:tcW w:w="1070" w:type="dxa"/>
            <w:tcBorders>
              <w:top w:val="single" w:color="auto" w:sz="4" w:space="0"/>
              <w:left w:val="single" w:color="auto" w:sz="4" w:space="0"/>
              <w:bottom w:val="single" w:color="auto" w:sz="4" w:space="0"/>
            </w:tcBorders>
            <w:noWrap w:val="0"/>
            <w:vAlign w:val="center"/>
          </w:tcPr>
          <w:p w14:paraId="5DB06F6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秩序管理不达标</w:t>
            </w:r>
          </w:p>
        </w:tc>
        <w:tc>
          <w:tcPr>
            <w:tcW w:w="800" w:type="dxa"/>
            <w:tcBorders>
              <w:top w:val="single" w:color="auto" w:sz="4" w:space="0"/>
              <w:bottom w:val="single" w:color="auto" w:sz="4" w:space="0"/>
              <w:right w:val="single" w:color="auto" w:sz="4" w:space="0"/>
            </w:tcBorders>
            <w:noWrap w:val="0"/>
            <w:vAlign w:val="center"/>
          </w:tcPr>
          <w:p w14:paraId="2BB47DD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对照标准整改</w:t>
            </w:r>
          </w:p>
        </w:tc>
        <w:tc>
          <w:tcPr>
            <w:tcW w:w="1701" w:type="dxa"/>
            <w:tcBorders>
              <w:top w:val="single" w:color="auto" w:sz="4" w:space="0"/>
              <w:bottom w:val="single" w:color="auto" w:sz="4" w:space="0"/>
              <w:right w:val="single" w:color="auto" w:sz="4" w:space="0"/>
            </w:tcBorders>
            <w:noWrap w:val="0"/>
            <w:vAlign w:val="center"/>
          </w:tcPr>
          <w:p w14:paraId="27BC5F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延安街道、区市场局、区城管局</w:t>
            </w:r>
          </w:p>
        </w:tc>
        <w:tc>
          <w:tcPr>
            <w:tcW w:w="840" w:type="dxa"/>
            <w:tcBorders>
              <w:top w:val="single" w:color="auto" w:sz="4" w:space="0"/>
              <w:bottom w:val="single" w:color="auto" w:sz="4" w:space="0"/>
              <w:right w:val="single" w:color="auto" w:sz="4" w:space="0"/>
            </w:tcBorders>
            <w:noWrap w:val="0"/>
            <w:vAlign w:val="center"/>
          </w:tcPr>
          <w:p w14:paraId="55DCC46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5BC896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0" w:hRule="atLeast"/>
        </w:trPr>
        <w:tc>
          <w:tcPr>
            <w:tcW w:w="561" w:type="dxa"/>
            <w:tcBorders>
              <w:top w:val="single" w:color="auto" w:sz="4" w:space="0"/>
              <w:bottom w:val="single" w:color="auto" w:sz="4" w:space="0"/>
            </w:tcBorders>
            <w:noWrap w:val="0"/>
            <w:vAlign w:val="center"/>
          </w:tcPr>
          <w:p w14:paraId="51EFCE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9</w:t>
            </w:r>
          </w:p>
        </w:tc>
        <w:tc>
          <w:tcPr>
            <w:tcW w:w="845" w:type="dxa"/>
            <w:tcBorders>
              <w:top w:val="single" w:color="auto" w:sz="4" w:space="0"/>
              <w:bottom w:val="single" w:color="auto" w:sz="4" w:space="0"/>
            </w:tcBorders>
            <w:noWrap w:val="0"/>
            <w:vAlign w:val="center"/>
          </w:tcPr>
          <w:p w14:paraId="3589D8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千万家明珠店</w:t>
            </w:r>
          </w:p>
        </w:tc>
        <w:tc>
          <w:tcPr>
            <w:tcW w:w="1291" w:type="dxa"/>
            <w:tcBorders>
              <w:top w:val="single" w:color="auto" w:sz="4" w:space="0"/>
              <w:bottom w:val="single" w:color="auto" w:sz="4" w:space="0"/>
            </w:tcBorders>
            <w:noWrap w:val="0"/>
            <w:vAlign w:val="center"/>
          </w:tcPr>
          <w:p w14:paraId="4EC19D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安徽省蚌埠市凤飞路212号</w:t>
            </w:r>
          </w:p>
        </w:tc>
        <w:tc>
          <w:tcPr>
            <w:tcW w:w="750" w:type="dxa"/>
            <w:tcBorders>
              <w:top w:val="single" w:color="auto" w:sz="4" w:space="0"/>
              <w:left w:val="single" w:color="auto" w:sz="4" w:space="0"/>
              <w:bottom w:val="single" w:color="auto" w:sz="4" w:space="0"/>
            </w:tcBorders>
            <w:noWrap w:val="0"/>
            <w:vAlign w:val="center"/>
          </w:tcPr>
          <w:p w14:paraId="19B6EC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32E7960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是</w:t>
            </w:r>
          </w:p>
        </w:tc>
        <w:tc>
          <w:tcPr>
            <w:tcW w:w="1070" w:type="dxa"/>
            <w:tcBorders>
              <w:top w:val="single" w:color="auto" w:sz="4" w:space="0"/>
              <w:left w:val="single" w:color="auto" w:sz="4" w:space="0"/>
              <w:bottom w:val="single" w:color="auto" w:sz="4" w:space="0"/>
            </w:tcBorders>
            <w:noWrap w:val="0"/>
            <w:vAlign w:val="center"/>
          </w:tcPr>
          <w:p w14:paraId="13B622F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秩序管理不达标</w:t>
            </w:r>
          </w:p>
        </w:tc>
        <w:tc>
          <w:tcPr>
            <w:tcW w:w="800" w:type="dxa"/>
            <w:tcBorders>
              <w:top w:val="single" w:color="auto" w:sz="4" w:space="0"/>
              <w:bottom w:val="single" w:color="auto" w:sz="4" w:space="0"/>
              <w:right w:val="single" w:color="auto" w:sz="4" w:space="0"/>
            </w:tcBorders>
            <w:noWrap w:val="0"/>
            <w:vAlign w:val="center"/>
          </w:tcPr>
          <w:p w14:paraId="0ADFE3E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对照标准整改</w:t>
            </w:r>
          </w:p>
        </w:tc>
        <w:tc>
          <w:tcPr>
            <w:tcW w:w="1701" w:type="dxa"/>
            <w:tcBorders>
              <w:top w:val="single" w:color="auto" w:sz="4" w:space="0"/>
              <w:bottom w:val="single" w:color="auto" w:sz="4" w:space="0"/>
              <w:right w:val="single" w:color="auto" w:sz="4" w:space="0"/>
            </w:tcBorders>
            <w:noWrap w:val="0"/>
            <w:vAlign w:val="center"/>
          </w:tcPr>
          <w:p w14:paraId="1281AB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东升街道、区市场局、区城管局</w:t>
            </w:r>
          </w:p>
        </w:tc>
        <w:tc>
          <w:tcPr>
            <w:tcW w:w="840" w:type="dxa"/>
            <w:tcBorders>
              <w:top w:val="single" w:color="auto" w:sz="4" w:space="0"/>
              <w:bottom w:val="single" w:color="auto" w:sz="4" w:space="0"/>
              <w:right w:val="single" w:color="auto" w:sz="4" w:space="0"/>
            </w:tcBorders>
            <w:noWrap w:val="0"/>
            <w:vAlign w:val="center"/>
          </w:tcPr>
          <w:p w14:paraId="60C2B9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59F37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561" w:type="dxa"/>
            <w:tcBorders>
              <w:top w:val="single" w:color="auto" w:sz="4" w:space="0"/>
              <w:bottom w:val="single" w:color="auto" w:sz="4" w:space="0"/>
            </w:tcBorders>
            <w:noWrap w:val="0"/>
            <w:vAlign w:val="center"/>
          </w:tcPr>
          <w:p w14:paraId="48459FF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10</w:t>
            </w:r>
          </w:p>
        </w:tc>
        <w:tc>
          <w:tcPr>
            <w:tcW w:w="845" w:type="dxa"/>
            <w:tcBorders>
              <w:top w:val="single" w:color="auto" w:sz="4" w:space="0"/>
              <w:bottom w:val="single" w:color="auto" w:sz="4" w:space="0"/>
            </w:tcBorders>
            <w:noWrap w:val="0"/>
            <w:vAlign w:val="center"/>
          </w:tcPr>
          <w:p w14:paraId="2CCA012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解放一路农贸市场</w:t>
            </w:r>
          </w:p>
        </w:tc>
        <w:tc>
          <w:tcPr>
            <w:tcW w:w="1291" w:type="dxa"/>
            <w:tcBorders>
              <w:top w:val="single" w:color="auto" w:sz="4" w:space="0"/>
              <w:bottom w:val="single" w:color="auto" w:sz="4" w:space="0"/>
            </w:tcBorders>
            <w:noWrap w:val="0"/>
            <w:vAlign w:val="center"/>
          </w:tcPr>
          <w:p w14:paraId="47F7C85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安徽省蚌埠市新淮路天祥家园农贸市场一层市场部分</w:t>
            </w:r>
          </w:p>
        </w:tc>
        <w:tc>
          <w:tcPr>
            <w:tcW w:w="750" w:type="dxa"/>
            <w:tcBorders>
              <w:top w:val="single" w:color="auto" w:sz="4" w:space="0"/>
              <w:left w:val="single" w:color="auto" w:sz="4" w:space="0"/>
              <w:bottom w:val="single" w:color="auto" w:sz="4" w:space="0"/>
            </w:tcBorders>
            <w:noWrap w:val="0"/>
            <w:vAlign w:val="center"/>
          </w:tcPr>
          <w:p w14:paraId="188C2B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3C81FCD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是</w:t>
            </w:r>
          </w:p>
        </w:tc>
        <w:tc>
          <w:tcPr>
            <w:tcW w:w="1070" w:type="dxa"/>
            <w:tcBorders>
              <w:top w:val="single" w:color="auto" w:sz="4" w:space="0"/>
              <w:left w:val="single" w:color="auto" w:sz="4" w:space="0"/>
              <w:bottom w:val="single" w:color="auto" w:sz="4" w:space="0"/>
            </w:tcBorders>
            <w:noWrap w:val="0"/>
            <w:vAlign w:val="center"/>
          </w:tcPr>
          <w:p w14:paraId="1733ED9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卫生保洁、秩序管理不达标</w:t>
            </w:r>
          </w:p>
        </w:tc>
        <w:tc>
          <w:tcPr>
            <w:tcW w:w="800" w:type="dxa"/>
            <w:tcBorders>
              <w:top w:val="single" w:color="auto" w:sz="4" w:space="0"/>
              <w:bottom w:val="single" w:color="auto" w:sz="4" w:space="0"/>
              <w:right w:val="single" w:color="auto" w:sz="4" w:space="0"/>
            </w:tcBorders>
            <w:noWrap w:val="0"/>
            <w:vAlign w:val="center"/>
          </w:tcPr>
          <w:p w14:paraId="6C57546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对照标准整改</w:t>
            </w:r>
          </w:p>
        </w:tc>
        <w:tc>
          <w:tcPr>
            <w:tcW w:w="1701" w:type="dxa"/>
            <w:tcBorders>
              <w:top w:val="single" w:color="auto" w:sz="4" w:space="0"/>
              <w:bottom w:val="single" w:color="auto" w:sz="4" w:space="0"/>
              <w:right w:val="single" w:color="auto" w:sz="4" w:space="0"/>
            </w:tcBorders>
            <w:noWrap w:val="0"/>
            <w:vAlign w:val="center"/>
          </w:tcPr>
          <w:p w14:paraId="79E195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东升街道、区市场局、区城管局</w:t>
            </w:r>
          </w:p>
        </w:tc>
        <w:tc>
          <w:tcPr>
            <w:tcW w:w="840" w:type="dxa"/>
            <w:tcBorders>
              <w:top w:val="single" w:color="auto" w:sz="4" w:space="0"/>
              <w:bottom w:val="single" w:color="auto" w:sz="4" w:space="0"/>
              <w:right w:val="single" w:color="auto" w:sz="4" w:space="0"/>
            </w:tcBorders>
            <w:noWrap w:val="0"/>
            <w:vAlign w:val="center"/>
          </w:tcPr>
          <w:p w14:paraId="76D117A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6C26F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561" w:type="dxa"/>
            <w:tcBorders>
              <w:top w:val="single" w:color="auto" w:sz="4" w:space="0"/>
              <w:bottom w:val="single" w:color="auto" w:sz="4" w:space="0"/>
            </w:tcBorders>
            <w:noWrap w:val="0"/>
            <w:vAlign w:val="center"/>
          </w:tcPr>
          <w:p w14:paraId="59E7F9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11</w:t>
            </w:r>
          </w:p>
        </w:tc>
        <w:tc>
          <w:tcPr>
            <w:tcW w:w="845" w:type="dxa"/>
            <w:tcBorders>
              <w:top w:val="single" w:color="auto" w:sz="4" w:space="0"/>
              <w:bottom w:val="single" w:color="auto" w:sz="4" w:space="0"/>
            </w:tcBorders>
            <w:noWrap w:val="0"/>
            <w:vAlign w:val="center"/>
          </w:tcPr>
          <w:p w14:paraId="1434382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风动市场</w:t>
            </w:r>
          </w:p>
        </w:tc>
        <w:tc>
          <w:tcPr>
            <w:tcW w:w="1291" w:type="dxa"/>
            <w:tcBorders>
              <w:top w:val="single" w:color="auto" w:sz="4" w:space="0"/>
              <w:bottom w:val="single" w:color="auto" w:sz="4" w:space="0"/>
            </w:tcBorders>
            <w:noWrap w:val="0"/>
            <w:vAlign w:val="center"/>
          </w:tcPr>
          <w:p w14:paraId="41C669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李楼风动市场内</w:t>
            </w:r>
          </w:p>
        </w:tc>
        <w:tc>
          <w:tcPr>
            <w:tcW w:w="750" w:type="dxa"/>
            <w:tcBorders>
              <w:top w:val="single" w:color="auto" w:sz="4" w:space="0"/>
              <w:left w:val="single" w:color="auto" w:sz="4" w:space="0"/>
              <w:bottom w:val="single" w:color="auto" w:sz="4" w:space="0"/>
            </w:tcBorders>
            <w:noWrap w:val="0"/>
            <w:vAlign w:val="center"/>
          </w:tcPr>
          <w:p w14:paraId="0BB73AA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4E3ADA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070" w:type="dxa"/>
            <w:tcBorders>
              <w:top w:val="single" w:color="auto" w:sz="4" w:space="0"/>
              <w:left w:val="single" w:color="auto" w:sz="4" w:space="0"/>
              <w:bottom w:val="single" w:color="auto" w:sz="4" w:space="0"/>
            </w:tcBorders>
            <w:noWrap w:val="0"/>
            <w:vAlign w:val="center"/>
          </w:tcPr>
          <w:p w14:paraId="64221F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通风设施、卫生保洁、秩序管理不达标</w:t>
            </w:r>
          </w:p>
        </w:tc>
        <w:tc>
          <w:tcPr>
            <w:tcW w:w="800" w:type="dxa"/>
            <w:tcBorders>
              <w:top w:val="single" w:color="auto" w:sz="4" w:space="0"/>
              <w:bottom w:val="single" w:color="auto" w:sz="4" w:space="0"/>
              <w:right w:val="single" w:color="auto" w:sz="4" w:space="0"/>
            </w:tcBorders>
            <w:noWrap w:val="0"/>
            <w:vAlign w:val="center"/>
          </w:tcPr>
          <w:p w14:paraId="7BA7ADB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迁入东湖雅苑市场</w:t>
            </w:r>
          </w:p>
        </w:tc>
        <w:tc>
          <w:tcPr>
            <w:tcW w:w="1701" w:type="dxa"/>
            <w:tcBorders>
              <w:top w:val="single" w:color="auto" w:sz="4" w:space="0"/>
              <w:bottom w:val="single" w:color="auto" w:sz="4" w:space="0"/>
              <w:right w:val="single" w:color="auto" w:sz="4" w:space="0"/>
            </w:tcBorders>
            <w:noWrap w:val="0"/>
            <w:vAlign w:val="center"/>
          </w:tcPr>
          <w:p w14:paraId="420DAE7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李楼乡、区城管局</w:t>
            </w:r>
          </w:p>
        </w:tc>
        <w:tc>
          <w:tcPr>
            <w:tcW w:w="840" w:type="dxa"/>
            <w:tcBorders>
              <w:top w:val="single" w:color="auto" w:sz="4" w:space="0"/>
              <w:bottom w:val="single" w:color="auto" w:sz="4" w:space="0"/>
              <w:right w:val="single" w:color="auto" w:sz="4" w:space="0"/>
            </w:tcBorders>
            <w:noWrap w:val="0"/>
            <w:vAlign w:val="center"/>
          </w:tcPr>
          <w:p w14:paraId="0A4736D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098C9F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561" w:type="dxa"/>
            <w:tcBorders>
              <w:top w:val="single" w:color="auto" w:sz="4" w:space="0"/>
              <w:bottom w:val="single" w:color="auto" w:sz="4" w:space="0"/>
            </w:tcBorders>
            <w:noWrap w:val="0"/>
            <w:vAlign w:val="center"/>
          </w:tcPr>
          <w:p w14:paraId="4804ACF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12</w:t>
            </w:r>
          </w:p>
        </w:tc>
        <w:tc>
          <w:tcPr>
            <w:tcW w:w="845" w:type="dxa"/>
            <w:tcBorders>
              <w:top w:val="single" w:color="auto" w:sz="4" w:space="0"/>
              <w:bottom w:val="single" w:color="auto" w:sz="4" w:space="0"/>
            </w:tcBorders>
            <w:noWrap w:val="0"/>
            <w:vAlign w:val="center"/>
          </w:tcPr>
          <w:p w14:paraId="2877DCB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王台子市场</w:t>
            </w:r>
          </w:p>
        </w:tc>
        <w:tc>
          <w:tcPr>
            <w:tcW w:w="1291" w:type="dxa"/>
            <w:tcBorders>
              <w:top w:val="single" w:color="auto" w:sz="4" w:space="0"/>
              <w:bottom w:val="single" w:color="auto" w:sz="4" w:space="0"/>
            </w:tcBorders>
            <w:noWrap w:val="0"/>
            <w:vAlign w:val="center"/>
          </w:tcPr>
          <w:p w14:paraId="62F33C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蚌埠市解放二路北首</w:t>
            </w:r>
          </w:p>
        </w:tc>
        <w:tc>
          <w:tcPr>
            <w:tcW w:w="750" w:type="dxa"/>
            <w:tcBorders>
              <w:top w:val="single" w:color="auto" w:sz="4" w:space="0"/>
              <w:left w:val="single" w:color="auto" w:sz="4" w:space="0"/>
              <w:bottom w:val="single" w:color="auto" w:sz="4" w:space="0"/>
            </w:tcBorders>
            <w:noWrap w:val="0"/>
            <w:vAlign w:val="center"/>
          </w:tcPr>
          <w:p w14:paraId="3113198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139" w:type="dxa"/>
            <w:tcBorders>
              <w:top w:val="single" w:color="auto" w:sz="4" w:space="0"/>
              <w:left w:val="single" w:color="auto" w:sz="4" w:space="0"/>
              <w:bottom w:val="single" w:color="auto" w:sz="4" w:space="0"/>
            </w:tcBorders>
            <w:noWrap w:val="0"/>
            <w:vAlign w:val="center"/>
          </w:tcPr>
          <w:p w14:paraId="0D30E32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070" w:type="dxa"/>
            <w:tcBorders>
              <w:top w:val="single" w:color="auto" w:sz="4" w:space="0"/>
              <w:left w:val="single" w:color="auto" w:sz="4" w:space="0"/>
              <w:bottom w:val="single" w:color="auto" w:sz="4" w:space="0"/>
            </w:tcBorders>
            <w:noWrap w:val="0"/>
            <w:vAlign w:val="center"/>
          </w:tcPr>
          <w:p w14:paraId="4A88DC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通风设施、卫生保洁、秩序管理不达标</w:t>
            </w:r>
          </w:p>
        </w:tc>
        <w:tc>
          <w:tcPr>
            <w:tcW w:w="800" w:type="dxa"/>
            <w:tcBorders>
              <w:top w:val="single" w:color="auto" w:sz="4" w:space="0"/>
              <w:bottom w:val="single" w:color="auto" w:sz="4" w:space="0"/>
              <w:right w:val="single" w:color="auto" w:sz="4" w:space="0"/>
            </w:tcBorders>
            <w:noWrap w:val="0"/>
            <w:vAlign w:val="center"/>
          </w:tcPr>
          <w:p w14:paraId="6988697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进一步规范经营</w:t>
            </w:r>
          </w:p>
        </w:tc>
        <w:tc>
          <w:tcPr>
            <w:tcW w:w="1701" w:type="dxa"/>
            <w:tcBorders>
              <w:top w:val="single" w:color="auto" w:sz="4" w:space="0"/>
              <w:bottom w:val="single" w:color="auto" w:sz="4" w:space="0"/>
              <w:right w:val="single" w:color="auto" w:sz="4" w:space="0"/>
            </w:tcBorders>
            <w:noWrap w:val="0"/>
            <w:vAlign w:val="center"/>
          </w:tcPr>
          <w:p w14:paraId="04D96F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解放街道</w:t>
            </w:r>
          </w:p>
        </w:tc>
        <w:tc>
          <w:tcPr>
            <w:tcW w:w="840" w:type="dxa"/>
            <w:tcBorders>
              <w:top w:val="single" w:color="auto" w:sz="4" w:space="0"/>
              <w:bottom w:val="single" w:color="auto" w:sz="4" w:space="0"/>
              <w:right w:val="single" w:color="auto" w:sz="4" w:space="0"/>
            </w:tcBorders>
            <w:noWrap w:val="0"/>
            <w:vAlign w:val="center"/>
          </w:tcPr>
          <w:p w14:paraId="3EB9AE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2023年底</w:t>
            </w:r>
          </w:p>
        </w:tc>
      </w:tr>
      <w:tr w14:paraId="715FC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10" w:hRule="atLeast"/>
        </w:trPr>
        <w:tc>
          <w:tcPr>
            <w:tcW w:w="561" w:type="dxa"/>
            <w:tcBorders>
              <w:top w:val="single" w:color="auto" w:sz="4" w:space="0"/>
              <w:bottom w:val="single" w:color="auto" w:sz="4" w:space="0"/>
            </w:tcBorders>
            <w:noWrap w:val="0"/>
            <w:vAlign w:val="center"/>
          </w:tcPr>
          <w:p w14:paraId="110AC8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13</w:t>
            </w:r>
          </w:p>
        </w:tc>
        <w:tc>
          <w:tcPr>
            <w:tcW w:w="845" w:type="dxa"/>
            <w:tcBorders>
              <w:top w:val="single" w:color="auto" w:sz="4" w:space="0"/>
              <w:bottom w:val="single" w:color="auto" w:sz="4" w:space="0"/>
            </w:tcBorders>
            <w:noWrap w:val="0"/>
            <w:vAlign w:val="center"/>
          </w:tcPr>
          <w:p w14:paraId="49EF9AF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东湖雅苑市场</w:t>
            </w:r>
          </w:p>
        </w:tc>
        <w:tc>
          <w:tcPr>
            <w:tcW w:w="1291" w:type="dxa"/>
            <w:tcBorders>
              <w:top w:val="single" w:color="auto" w:sz="4" w:space="0"/>
              <w:bottom w:val="single" w:color="auto" w:sz="4" w:space="0"/>
            </w:tcBorders>
            <w:noWrap w:val="0"/>
            <w:vAlign w:val="center"/>
          </w:tcPr>
          <w:p w14:paraId="23F9E5B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东湖雅苑小区</w:t>
            </w:r>
          </w:p>
        </w:tc>
        <w:tc>
          <w:tcPr>
            <w:tcW w:w="750" w:type="dxa"/>
            <w:tcBorders>
              <w:top w:val="single" w:color="auto" w:sz="4" w:space="0"/>
              <w:left w:val="single" w:color="auto" w:sz="4" w:space="0"/>
              <w:bottom w:val="single" w:color="auto" w:sz="4" w:space="0"/>
            </w:tcBorders>
            <w:noWrap w:val="0"/>
            <w:vAlign w:val="center"/>
          </w:tcPr>
          <w:p w14:paraId="3CB8EB1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在建</w:t>
            </w:r>
          </w:p>
        </w:tc>
        <w:tc>
          <w:tcPr>
            <w:tcW w:w="1139" w:type="dxa"/>
            <w:tcBorders>
              <w:top w:val="single" w:color="auto" w:sz="4" w:space="0"/>
              <w:left w:val="single" w:color="auto" w:sz="4" w:space="0"/>
              <w:bottom w:val="single" w:color="auto" w:sz="4" w:space="0"/>
            </w:tcBorders>
            <w:noWrap w:val="0"/>
            <w:vAlign w:val="center"/>
          </w:tcPr>
          <w:p w14:paraId="6F18B83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否</w:t>
            </w:r>
          </w:p>
        </w:tc>
        <w:tc>
          <w:tcPr>
            <w:tcW w:w="1070" w:type="dxa"/>
            <w:tcBorders>
              <w:top w:val="single" w:color="auto" w:sz="4" w:space="0"/>
              <w:left w:val="single" w:color="auto" w:sz="4" w:space="0"/>
              <w:bottom w:val="single" w:color="auto" w:sz="4" w:space="0"/>
            </w:tcBorders>
            <w:noWrap w:val="0"/>
            <w:vAlign w:val="center"/>
          </w:tcPr>
          <w:p w14:paraId="0FCDE1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p>
        </w:tc>
        <w:tc>
          <w:tcPr>
            <w:tcW w:w="800" w:type="dxa"/>
            <w:tcBorders>
              <w:top w:val="single" w:color="auto" w:sz="4" w:space="0"/>
              <w:bottom w:val="single" w:color="auto" w:sz="4" w:space="0"/>
              <w:right w:val="single" w:color="auto" w:sz="4" w:space="0"/>
            </w:tcBorders>
            <w:noWrap w:val="0"/>
            <w:vAlign w:val="center"/>
          </w:tcPr>
          <w:p w14:paraId="70FB64F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p>
        </w:tc>
        <w:tc>
          <w:tcPr>
            <w:tcW w:w="1701" w:type="dxa"/>
            <w:tcBorders>
              <w:top w:val="single" w:color="auto" w:sz="4" w:space="0"/>
              <w:bottom w:val="single" w:color="auto" w:sz="4" w:space="0"/>
              <w:right w:val="single" w:color="auto" w:sz="4" w:space="0"/>
            </w:tcBorders>
            <w:noWrap w:val="0"/>
            <w:vAlign w:val="center"/>
          </w:tcPr>
          <w:p w14:paraId="455DC3C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李楼乡、区商务外事局、区住建局、区消防大队、区市场局、区城管局、区财政局</w:t>
            </w:r>
          </w:p>
        </w:tc>
        <w:tc>
          <w:tcPr>
            <w:tcW w:w="840" w:type="dxa"/>
            <w:tcBorders>
              <w:top w:val="single" w:color="auto" w:sz="4" w:space="0"/>
              <w:bottom w:val="single" w:color="auto" w:sz="4" w:space="0"/>
              <w:right w:val="single" w:color="auto" w:sz="4" w:space="0"/>
            </w:tcBorders>
            <w:noWrap w:val="0"/>
            <w:vAlign w:val="center"/>
          </w:tcPr>
          <w:p w14:paraId="17D803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仿宋_GBK" w:cs="Times New Roman"/>
                <w:snapToGrid/>
                <w:kern w:val="2"/>
                <w:sz w:val="24"/>
                <w:szCs w:val="24"/>
                <w:lang w:val="en-US" w:eastAsia="zh-CN" w:bidi="ar-SA"/>
              </w:rPr>
            </w:pPr>
            <w:r>
              <w:rPr>
                <w:rFonts w:hint="default" w:ascii="Times New Roman" w:hAnsi="Times New Roman" w:eastAsia="方正仿宋_GBK" w:cs="Times New Roman"/>
                <w:snapToGrid/>
                <w:kern w:val="2"/>
                <w:sz w:val="24"/>
                <w:szCs w:val="24"/>
                <w:lang w:val="en-US" w:eastAsia="zh-CN" w:bidi="ar-SA"/>
              </w:rPr>
              <w:t>待定</w:t>
            </w:r>
          </w:p>
        </w:tc>
      </w:tr>
    </w:tbl>
    <w:p w14:paraId="285AA367">
      <w:pPr>
        <w:widowControl w:val="0"/>
        <w:ind w:left="111" w:firstLine="631"/>
        <w:jc w:val="both"/>
        <w:rPr>
          <w:rFonts w:hint="default" w:ascii="Times New Roman" w:hAnsi="Times New Roman" w:eastAsia="仿宋_GB2312" w:cs="Times New Roman"/>
          <w:kern w:val="2"/>
          <w:sz w:val="32"/>
          <w:szCs w:val="32"/>
          <w:lang w:val="en-US" w:eastAsia="zh-CN" w:bidi="ar-SA"/>
        </w:rPr>
      </w:pPr>
    </w:p>
    <w:p w14:paraId="45DEE3C0">
      <w:pPr>
        <w:widowControl w:val="0"/>
        <w:kinsoku/>
        <w:autoSpaceDE/>
        <w:autoSpaceDN/>
        <w:adjustRightInd/>
        <w:snapToGrid/>
        <w:spacing w:line="240" w:lineRule="auto"/>
        <w:jc w:val="both"/>
        <w:textAlignment w:val="auto"/>
        <w:rPr>
          <w:rFonts w:hint="default" w:ascii="Times New Roman" w:hAnsi="Times New Roman" w:cs="Times New Roman" w:eastAsiaTheme="minorEastAsia"/>
          <w:snapToGrid/>
          <w:kern w:val="2"/>
          <w:szCs w:val="24"/>
          <w:lang w:val="en-US" w:eastAsia="zh-CN" w:bidi="ar-SA"/>
        </w:rPr>
      </w:pPr>
      <w:r>
        <w:rPr>
          <w:rFonts w:hint="default" w:ascii="Times New Roman" w:hAnsi="Times New Roman" w:cs="Times New Roman" w:eastAsiaTheme="minorEastAsia"/>
          <w:snapToGrid/>
          <w:kern w:val="2"/>
          <w:szCs w:val="24"/>
          <w:lang w:val="en-US" w:eastAsia="zh-CN" w:bidi="ar-SA"/>
        </w:rPr>
        <w:br w:type="page"/>
      </w:r>
    </w:p>
    <w:p w14:paraId="397DE70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left"/>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附件12</w:t>
      </w:r>
    </w:p>
    <w:p w14:paraId="35B81E10">
      <w:pPr>
        <w:keepNext w:val="0"/>
        <w:keepLines w:val="0"/>
        <w:pageBreakBefore w:val="0"/>
        <w:widowControl w:val="0"/>
        <w:kinsoku/>
        <w:wordWrap/>
        <w:overflowPunct/>
        <w:topLinePunct w:val="0"/>
        <w:autoSpaceDE/>
        <w:autoSpaceDN/>
        <w:bidi w:val="0"/>
        <w:adjustRightInd/>
        <w:snapToGrid/>
        <w:spacing w:line="590" w:lineRule="exact"/>
        <w:ind w:firstLine="880" w:firstLineChars="200"/>
        <w:jc w:val="center"/>
        <w:textAlignment w:val="auto"/>
        <w:rPr>
          <w:rFonts w:hint="default" w:ascii="Times New Roman" w:hAnsi="Times New Roman" w:eastAsia="方正小标宋简体" w:cs="Times New Roman"/>
          <w:snapToGrid/>
          <w:kern w:val="2"/>
          <w:sz w:val="44"/>
          <w:szCs w:val="44"/>
          <w:lang w:val="en-US" w:eastAsia="zh-CN" w:bidi="ar-SA"/>
        </w:rPr>
      </w:pPr>
    </w:p>
    <w:p w14:paraId="4E4F48D2">
      <w:pPr>
        <w:keepNext w:val="0"/>
        <w:keepLines w:val="0"/>
        <w:pageBreakBefore w:val="0"/>
        <w:widowControl w:val="0"/>
        <w:kinsoku/>
        <w:wordWrap/>
        <w:overflowPunct/>
        <w:topLinePunct w:val="0"/>
        <w:autoSpaceDE/>
        <w:autoSpaceDN/>
        <w:bidi w:val="0"/>
        <w:adjustRightInd/>
        <w:snapToGrid/>
        <w:spacing w:line="590" w:lineRule="exact"/>
        <w:jc w:val="center"/>
        <w:textAlignment w:val="auto"/>
        <w:rPr>
          <w:rFonts w:hint="default" w:ascii="Times New Roman" w:hAnsi="Times New Roman" w:eastAsia="方正小标宋_GBK" w:cs="Times New Roman"/>
          <w:snapToGrid/>
          <w:kern w:val="2"/>
          <w:sz w:val="44"/>
          <w:szCs w:val="44"/>
          <w:lang w:val="en-US" w:eastAsia="zh-CN" w:bidi="ar-SA"/>
        </w:rPr>
      </w:pPr>
      <w:r>
        <w:rPr>
          <w:rFonts w:hint="default" w:ascii="Times New Roman" w:hAnsi="Times New Roman" w:eastAsia="方正小标宋_GBK" w:cs="Times New Roman"/>
          <w:snapToGrid/>
          <w:kern w:val="2"/>
          <w:sz w:val="44"/>
          <w:szCs w:val="44"/>
          <w:lang w:val="en-US" w:eastAsia="zh-CN" w:bidi="ar-SA"/>
        </w:rPr>
        <w:t>龙子湖区老有所学行动方案</w:t>
      </w:r>
    </w:p>
    <w:p w14:paraId="7247454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仿宋_GB2312" w:cs="Times New Roman"/>
          <w:snapToGrid/>
          <w:kern w:val="2"/>
          <w:sz w:val="32"/>
          <w:szCs w:val="32"/>
          <w:lang w:val="en-US" w:eastAsia="zh-CN" w:bidi="ar-SA"/>
        </w:rPr>
      </w:pPr>
    </w:p>
    <w:p w14:paraId="6EC13B02">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根据《蚌埠市老有所学行动方案》，结合我区实际，制定方案如下。</w:t>
      </w:r>
    </w:p>
    <w:p w14:paraId="500C42E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一、目标任务</w:t>
      </w:r>
    </w:p>
    <w:p w14:paraId="6051C111">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龙子湖区位于蚌埠市东部，总面积161.68平方公里，总人口27.56万，其中老年人口（60周岁以上）5.42万，共辖6个街道、1个乡镇。到2025年底，全区老年学校新增学习人数14000人左右（其中，线下学习12000人左右），参加学习教育活动的老年人由2021年的2000人达到16000人左右（其中，线下13000人左右），占常住老年人口总数的比例达到30%以上，在现有已建成区、乡街、村（社区）的三级老年教育办学网络的基础上，进一步扩面增量、提质增效。</w:t>
      </w:r>
    </w:p>
    <w:p w14:paraId="7793A8A3">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其中，2022年，全区老年学校新增学习人数1500人（其中，线下1100人左右），参与学习教育活动老年人达到3500人左右，其中，线下2000人左右）。</w:t>
      </w:r>
    </w:p>
    <w:p w14:paraId="7DFA67C3">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snapToGrid/>
          <w:kern w:val="2"/>
          <w:sz w:val="32"/>
          <w:szCs w:val="32"/>
          <w:lang w:val="en-US" w:eastAsia="zh-CN" w:bidi="ar-SA"/>
        </w:rPr>
        <w:t>到2023年，全区老年学校新增学习人数3000人（其中，线下1800人左右），参与学习教育活动老年人达到5000人左右，其中，线下4200人左右）。</w:t>
      </w:r>
    </w:p>
    <w:p w14:paraId="6FC797DE">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二、工作举措</w:t>
      </w:r>
    </w:p>
    <w:p w14:paraId="57131603">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default" w:ascii="Times New Roman" w:hAnsi="Times New Roman" w:eastAsia="方正楷体_GBK" w:cs="Times New Roman"/>
          <w:b w:val="0"/>
          <w:bCs w:val="0"/>
          <w:snapToGrid/>
          <w:kern w:val="2"/>
          <w:sz w:val="32"/>
          <w:szCs w:val="32"/>
          <w:lang w:val="en-US" w:eastAsia="zh-CN" w:bidi="ar-SA"/>
        </w:rPr>
        <w:t>（一）多措并举、扩容增量</w:t>
      </w:r>
    </w:p>
    <w:p w14:paraId="2DADE0CE">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1.改建一批。</w:t>
      </w:r>
      <w:r>
        <w:rPr>
          <w:rFonts w:hint="default" w:ascii="Times New Roman" w:hAnsi="Times New Roman" w:eastAsia="方正仿宋_GBK" w:cs="Times New Roman"/>
          <w:snapToGrid/>
          <w:kern w:val="2"/>
          <w:sz w:val="32"/>
          <w:szCs w:val="32"/>
          <w:lang w:val="en-US" w:eastAsia="zh-CN" w:bidi="ar-SA"/>
        </w:rPr>
        <w:t>整合盘活现有办公用房、中职学校、中小学校舍、文化馆（站）、老年活动中心、党群服务中心等各类存量设施资源，改造建设成为老年学校办学场所，重点面向乡街、村（社区），改建一批老百姓身边的老年学校（分校）。</w:t>
      </w:r>
    </w:p>
    <w:p w14:paraId="215E9A3C">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2.扩容一批。</w:t>
      </w:r>
      <w:r>
        <w:rPr>
          <w:rFonts w:hint="default" w:ascii="Times New Roman" w:hAnsi="Times New Roman" w:eastAsia="方正仿宋_GBK" w:cs="Times New Roman"/>
          <w:snapToGrid/>
          <w:kern w:val="2"/>
          <w:sz w:val="32"/>
          <w:szCs w:val="32"/>
          <w:lang w:val="en-US" w:eastAsia="zh-CN" w:bidi="ar-SA"/>
        </w:rPr>
        <w:t>依托现有的区级老年大学、社区老年学校，挖掘办学潜力，扩大办学场所，扩充办学容量。</w:t>
      </w:r>
    </w:p>
    <w:p w14:paraId="32F81AC8">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3.新设一批。</w:t>
      </w:r>
      <w:r>
        <w:rPr>
          <w:rFonts w:hint="default" w:ascii="Times New Roman" w:hAnsi="Times New Roman" w:eastAsia="方正仿宋_GBK" w:cs="Times New Roman"/>
          <w:snapToGrid/>
          <w:kern w:val="2"/>
          <w:sz w:val="32"/>
          <w:szCs w:val="32"/>
          <w:lang w:val="en-US" w:eastAsia="zh-CN" w:bidi="ar-SA"/>
        </w:rPr>
        <w:t>2023年底前，鼓励有条件的社会力量举办或参与举办老年学校。鼓励有条件的村举办多个学习点，方便老人就近入学。</w:t>
      </w:r>
    </w:p>
    <w:p w14:paraId="47EFE07F">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4.网办一批。</w:t>
      </w:r>
      <w:r>
        <w:rPr>
          <w:rFonts w:hint="default" w:ascii="Times New Roman" w:hAnsi="Times New Roman" w:eastAsia="方正仿宋_GBK" w:cs="Times New Roman"/>
          <w:snapToGrid/>
          <w:kern w:val="2"/>
          <w:sz w:val="32"/>
          <w:szCs w:val="32"/>
          <w:lang w:val="en-US" w:eastAsia="zh-CN" w:bidi="ar-SA"/>
        </w:rPr>
        <w:t>发挥老年开放大学远程教育优势，做大做强老年远程教育，更好满足老年人多样化、便捷化、个性化学习需求。</w:t>
      </w:r>
    </w:p>
    <w:p w14:paraId="427E1C5A">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楷体_GBK" w:cs="Times New Roman"/>
          <w:b w:val="0"/>
          <w:bCs w:val="0"/>
          <w:snapToGrid/>
          <w:kern w:val="2"/>
          <w:sz w:val="32"/>
          <w:szCs w:val="32"/>
          <w:lang w:val="en-US" w:eastAsia="zh-CN" w:bidi="ar-SA"/>
        </w:rPr>
      </w:pPr>
      <w:r>
        <w:rPr>
          <w:rFonts w:hint="eastAsia" w:ascii="Times New Roman" w:hAnsi="Times New Roman" w:eastAsia="方正楷体_GBK" w:cs="Times New Roman"/>
          <w:b w:val="0"/>
          <w:bCs w:val="0"/>
          <w:snapToGrid/>
          <w:kern w:val="2"/>
          <w:sz w:val="32"/>
          <w:szCs w:val="32"/>
          <w:lang w:val="en-US" w:eastAsia="zh-CN" w:bidi="ar-SA"/>
        </w:rPr>
        <w:t>（二）</w:t>
      </w:r>
      <w:r>
        <w:rPr>
          <w:rFonts w:hint="default" w:ascii="Times New Roman" w:hAnsi="Times New Roman" w:eastAsia="方正楷体_GBK" w:cs="Times New Roman"/>
          <w:b w:val="0"/>
          <w:bCs w:val="0"/>
          <w:snapToGrid/>
          <w:kern w:val="2"/>
          <w:sz w:val="32"/>
          <w:szCs w:val="32"/>
          <w:lang w:val="en-US" w:eastAsia="zh-CN" w:bidi="ar-SA"/>
        </w:rPr>
        <w:t>丰富内涵，提质增效</w:t>
      </w:r>
    </w:p>
    <w:p w14:paraId="780CC556">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1.加强队伍建设。</w:t>
      </w:r>
      <w:r>
        <w:rPr>
          <w:rFonts w:hint="default" w:ascii="Times New Roman" w:hAnsi="Times New Roman" w:eastAsia="方正仿宋_GBK" w:cs="Times New Roman"/>
          <w:snapToGrid/>
          <w:kern w:val="2"/>
          <w:sz w:val="32"/>
          <w:szCs w:val="32"/>
          <w:lang w:val="en-US" w:eastAsia="zh-CN" w:bidi="ar-SA"/>
        </w:rPr>
        <w:t>建设一支符合老年学校办学需求、相对稳定、以兼职教师为主体的高素质教师队伍，建立完善老年学校管理人员邀请授课制度。</w:t>
      </w:r>
    </w:p>
    <w:p w14:paraId="357A1680">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2.加强教学资源建设。</w:t>
      </w:r>
      <w:r>
        <w:rPr>
          <w:rFonts w:hint="default" w:ascii="Times New Roman" w:hAnsi="Times New Roman" w:eastAsia="方正仿宋_GBK" w:cs="Times New Roman"/>
          <w:snapToGrid/>
          <w:kern w:val="2"/>
          <w:sz w:val="32"/>
          <w:szCs w:val="32"/>
          <w:lang w:val="en-US" w:eastAsia="zh-CN" w:bidi="ar-SA"/>
        </w:rPr>
        <w:t>制定老年教育课程教学指导，遴选、整合、开发一批通用课程、特色课程，重点开发建设一批体现蚌埠传统文化、地方特色的区级精品课程。</w:t>
      </w:r>
    </w:p>
    <w:p w14:paraId="224C7222">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3.推进智慧教学。</w:t>
      </w:r>
      <w:r>
        <w:rPr>
          <w:rFonts w:hint="default" w:ascii="Times New Roman" w:hAnsi="Times New Roman" w:eastAsia="方正仿宋_GBK" w:cs="Times New Roman"/>
          <w:snapToGrid/>
          <w:kern w:val="2"/>
          <w:sz w:val="32"/>
          <w:szCs w:val="32"/>
          <w:lang w:val="en-US" w:eastAsia="zh-CN" w:bidi="ar-SA"/>
        </w:rPr>
        <w:t>充分利用市级老年教育网络学习平台和市级老年教育资源中心，开拓建立区级网络学习子平台和资源分中心，推进老年学校智慧校园建设。加强老年智能教育，开展智能技术教育培训，挖掘推广一批“智慧助老”工作案例、培训项目、课程资源，有效提升老年人数字素养。</w:t>
      </w:r>
    </w:p>
    <w:p w14:paraId="29EFCE13">
      <w:pPr>
        <w:keepNext w:val="0"/>
        <w:keepLines w:val="0"/>
        <w:pageBreakBefore w:val="0"/>
        <w:widowControl w:val="0"/>
        <w:kinsoku/>
        <w:wordWrap/>
        <w:overflowPunct/>
        <w:topLinePunct w:val="0"/>
        <w:autoSpaceDE/>
        <w:autoSpaceDN/>
        <w:bidi w:val="0"/>
        <w:adjustRightInd/>
        <w:snapToGrid/>
        <w:spacing w:line="590" w:lineRule="exact"/>
        <w:ind w:firstLine="643"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default" w:ascii="Times New Roman" w:hAnsi="Times New Roman" w:eastAsia="方正仿宋_GBK" w:cs="Times New Roman"/>
          <w:b/>
          <w:bCs/>
          <w:snapToGrid/>
          <w:kern w:val="2"/>
          <w:sz w:val="32"/>
          <w:szCs w:val="32"/>
          <w:lang w:val="en-US" w:eastAsia="zh-CN" w:bidi="ar-SA"/>
        </w:rPr>
        <w:t>4.开展示范学校建设。</w:t>
      </w:r>
      <w:r>
        <w:rPr>
          <w:rFonts w:hint="default" w:ascii="Times New Roman" w:hAnsi="Times New Roman" w:eastAsia="方正仿宋_GBK" w:cs="Times New Roman"/>
          <w:snapToGrid/>
          <w:kern w:val="2"/>
          <w:sz w:val="32"/>
          <w:szCs w:val="32"/>
          <w:lang w:val="en-US" w:eastAsia="zh-CN" w:bidi="ar-SA"/>
        </w:rPr>
        <w:t>对照老年大学示范学校建设标准，进一步改善办学条件，创建一批示范老年学校。</w:t>
      </w:r>
    </w:p>
    <w:p w14:paraId="380FCC77">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黑体_GBK" w:cs="Times New Roman"/>
          <w:snapToGrid/>
          <w:kern w:val="2"/>
          <w:sz w:val="32"/>
          <w:szCs w:val="32"/>
          <w:lang w:val="en-US" w:eastAsia="zh-CN" w:bidi="ar-SA"/>
        </w:rPr>
      </w:pPr>
      <w:r>
        <w:rPr>
          <w:rFonts w:hint="default" w:ascii="Times New Roman" w:hAnsi="Times New Roman" w:eastAsia="方正黑体_GBK" w:cs="Times New Roman"/>
          <w:snapToGrid/>
          <w:kern w:val="2"/>
          <w:sz w:val="32"/>
          <w:szCs w:val="32"/>
          <w:lang w:val="en-US" w:eastAsia="zh-CN" w:bidi="ar-SA"/>
        </w:rPr>
        <w:t>三、支持政策</w:t>
      </w:r>
    </w:p>
    <w:p w14:paraId="39E933A4">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eastAsia" w:ascii="Times New Roman" w:hAnsi="Times New Roman" w:eastAsia="方正楷体_GBK" w:cs="Times New Roman"/>
          <w:b w:val="0"/>
          <w:bCs w:val="0"/>
          <w:snapToGrid/>
          <w:kern w:val="2"/>
          <w:sz w:val="32"/>
          <w:szCs w:val="32"/>
          <w:lang w:val="en-US" w:eastAsia="zh-CN" w:bidi="ar-SA"/>
        </w:rPr>
        <w:t>（一）</w:t>
      </w:r>
      <w:r>
        <w:rPr>
          <w:rFonts w:hint="default" w:ascii="Times New Roman" w:hAnsi="Times New Roman" w:eastAsia="方正楷体_GBK" w:cs="Times New Roman"/>
          <w:b w:val="0"/>
          <w:bCs w:val="0"/>
          <w:snapToGrid/>
          <w:kern w:val="2"/>
          <w:sz w:val="32"/>
          <w:szCs w:val="32"/>
          <w:lang w:val="en-US" w:eastAsia="zh-CN" w:bidi="ar-SA"/>
        </w:rPr>
        <w:t>加大投入。</w:t>
      </w:r>
      <w:r>
        <w:rPr>
          <w:rFonts w:hint="default" w:ascii="Times New Roman" w:hAnsi="Times New Roman" w:eastAsia="方正仿宋_GBK" w:cs="Times New Roman"/>
          <w:snapToGrid/>
          <w:kern w:val="2"/>
          <w:sz w:val="32"/>
          <w:szCs w:val="32"/>
          <w:lang w:val="en-US" w:eastAsia="zh-CN" w:bidi="ar-SA"/>
        </w:rPr>
        <w:t>建立事权和支出责任相适应、多元主体投入的经费保障机制。市级对改建的公办县（区）、乡、村四级老年学校，按财政供给渠道一次性分别给予20万元、10万元、3万元的改造建设补助。区级以下公办老年学校，按200元/人·年标准拨付生均经费。</w:t>
      </w:r>
    </w:p>
    <w:p w14:paraId="38091DBC">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仿宋_GB2312" w:cs="Times New Roman"/>
          <w:snapToGrid/>
          <w:kern w:val="2"/>
          <w:sz w:val="32"/>
          <w:szCs w:val="32"/>
          <w:lang w:val="en-US" w:eastAsia="zh-CN" w:bidi="ar-SA"/>
        </w:rPr>
      </w:pPr>
      <w:r>
        <w:rPr>
          <w:rFonts w:hint="eastAsia" w:ascii="Times New Roman" w:hAnsi="Times New Roman" w:eastAsia="方正楷体_GBK" w:cs="Times New Roman"/>
          <w:b w:val="0"/>
          <w:bCs w:val="0"/>
          <w:snapToGrid/>
          <w:kern w:val="2"/>
          <w:sz w:val="32"/>
          <w:szCs w:val="32"/>
          <w:lang w:val="en-US" w:eastAsia="zh-CN" w:bidi="ar-SA"/>
        </w:rPr>
        <w:t>（二）</w:t>
      </w:r>
      <w:r>
        <w:rPr>
          <w:rFonts w:hint="default" w:ascii="Times New Roman" w:hAnsi="Times New Roman" w:eastAsia="方正楷体_GBK" w:cs="Times New Roman"/>
          <w:b w:val="0"/>
          <w:bCs w:val="0"/>
          <w:snapToGrid/>
          <w:kern w:val="2"/>
          <w:sz w:val="32"/>
          <w:szCs w:val="32"/>
          <w:lang w:val="en-US" w:eastAsia="zh-CN" w:bidi="ar-SA"/>
        </w:rPr>
        <w:t>鼓励社会力量办学。</w:t>
      </w:r>
      <w:r>
        <w:rPr>
          <w:rFonts w:hint="default" w:ascii="Times New Roman" w:hAnsi="Times New Roman" w:eastAsia="方正仿宋_GBK" w:cs="Times New Roman"/>
          <w:snapToGrid/>
          <w:kern w:val="2"/>
          <w:sz w:val="32"/>
          <w:szCs w:val="32"/>
          <w:lang w:val="en-US" w:eastAsia="zh-CN" w:bidi="ar-SA"/>
        </w:rPr>
        <w:t>采取政府购买服务、出租转让闲置的国有资产、税收优惠、信贷支持等措施，鼓励支持社会力量举办老年学校。对社会力量举办的老年学校，按公办老年学校生均经费标准三分之一给予奖补。</w:t>
      </w:r>
    </w:p>
    <w:p w14:paraId="20632003">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r>
        <w:rPr>
          <w:rFonts w:hint="eastAsia" w:ascii="Times New Roman" w:hAnsi="Times New Roman" w:eastAsia="方正楷体_GBK" w:cs="Times New Roman"/>
          <w:b w:val="0"/>
          <w:bCs w:val="0"/>
          <w:snapToGrid/>
          <w:kern w:val="2"/>
          <w:sz w:val="32"/>
          <w:szCs w:val="32"/>
          <w:lang w:val="en-US" w:eastAsia="zh-CN" w:bidi="ar-SA"/>
        </w:rPr>
        <w:t>（三）</w:t>
      </w:r>
      <w:r>
        <w:rPr>
          <w:rFonts w:hint="default" w:ascii="Times New Roman" w:hAnsi="Times New Roman" w:eastAsia="方正楷体_GBK" w:cs="Times New Roman"/>
          <w:b w:val="0"/>
          <w:bCs w:val="0"/>
          <w:snapToGrid/>
          <w:kern w:val="2"/>
          <w:sz w:val="32"/>
          <w:szCs w:val="32"/>
          <w:lang w:val="en-US" w:eastAsia="zh-CN" w:bidi="ar-SA"/>
        </w:rPr>
        <w:t>强化师资保障。</w:t>
      </w:r>
      <w:r>
        <w:rPr>
          <w:rFonts w:hint="default" w:ascii="Times New Roman" w:hAnsi="Times New Roman" w:eastAsia="方正仿宋_GBK" w:cs="Times New Roman"/>
          <w:snapToGrid/>
          <w:kern w:val="2"/>
          <w:sz w:val="32"/>
          <w:szCs w:val="32"/>
          <w:lang w:val="en-US" w:eastAsia="zh-CN" w:bidi="ar-SA"/>
        </w:rPr>
        <w:t>各级各类学校、党政机关、企事业各单位、社会团体等都要积极支持老年教育，允许本单位职工（含退休)在不影响本职工作的前提下，到老年学校兼职任教并合理获取报酬。允许高校艺体医学类学生在不影响学业的前提下，到老年学校实习、任教并合理获取报酬。老年大学(学校)办学经费、专项经费纳入区级财政预算。鼓励支持各单位开发增设公益性岗位，向高校毕业生购买服务，到老年学校任职。</w:t>
      </w:r>
    </w:p>
    <w:p w14:paraId="7B7682F8">
      <w:pPr>
        <w:keepNext w:val="0"/>
        <w:keepLines w:val="0"/>
        <w:pageBreakBefore w:val="0"/>
        <w:widowControl w:val="0"/>
        <w:kinsoku/>
        <w:wordWrap/>
        <w:overflowPunct/>
        <w:topLinePunct w:val="0"/>
        <w:autoSpaceDE/>
        <w:autoSpaceDN/>
        <w:bidi w:val="0"/>
        <w:adjustRightInd/>
        <w:snapToGrid/>
        <w:spacing w:beforeAutospacing="0" w:afterAutospacing="0" w:line="590" w:lineRule="exact"/>
        <w:ind w:left="0" w:leftChars="0" w:right="0" w:rightChars="0" w:firstLine="640" w:firstLineChars="200"/>
        <w:jc w:val="both"/>
        <w:textAlignment w:val="auto"/>
        <w:rPr>
          <w:rFonts w:hint="default" w:ascii="Times New Roman" w:hAnsi="Times New Roman" w:eastAsia="方正仿宋_GBK" w:cs="Times New Roman"/>
          <w:snapToGrid/>
          <w:kern w:val="2"/>
          <w:sz w:val="32"/>
          <w:szCs w:val="32"/>
          <w:lang w:val="en-US" w:eastAsia="zh-CN" w:bidi="ar-SA"/>
        </w:rPr>
      </w:pPr>
    </w:p>
    <w:p w14:paraId="18006DEC">
      <w:pPr>
        <w:keepNext w:val="0"/>
        <w:keepLines w:val="0"/>
        <w:pageBreakBefore w:val="0"/>
        <w:widowControl/>
        <w:kinsoku/>
        <w:wordWrap/>
        <w:overflowPunct/>
        <w:topLinePunct w:val="0"/>
        <w:autoSpaceDE w:val="0"/>
        <w:autoSpaceDN w:val="0"/>
        <w:bidi w:val="0"/>
        <w:adjustRightInd w:val="0"/>
        <w:snapToGrid w:val="0"/>
        <w:spacing w:line="590" w:lineRule="exact"/>
        <w:ind w:right="1594" w:rightChars="759" w:firstLine="0" w:firstLineChars="0"/>
        <w:jc w:val="both"/>
        <w:textAlignment w:val="baseline"/>
        <w:rPr>
          <w:rFonts w:hint="default" w:ascii="Times New Roman" w:hAnsi="Times New Roman" w:eastAsia="方正仿宋_GBK" w:cs="Times New Roman"/>
          <w:snapToGrid/>
          <w:kern w:val="2"/>
          <w:sz w:val="32"/>
          <w:szCs w:val="32"/>
          <w:lang w:val="en-US" w:eastAsia="zh-CN" w:bidi="ar-SA"/>
        </w:rPr>
      </w:pPr>
    </w:p>
    <w:sectPr>
      <w:pgSz w:w="11906" w:h="16838"/>
      <w:pgMar w:top="1962" w:right="1474" w:bottom="1848" w:left="1587" w:header="851" w:footer="992" w:gutter="0"/>
      <w:pgNumType w:fmt="numberInDash"/>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99992B-40F0-4295-9D28-FE7FEA2C423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59408F0-8DAF-4D3B-B79A-5FD045129704}"/>
  </w:font>
  <w:font w:name="仿宋_GB2312">
    <w:panose1 w:val="02010609030101010101"/>
    <w:charset w:val="86"/>
    <w:family w:val="modern"/>
    <w:pitch w:val="default"/>
    <w:sig w:usb0="00000001" w:usb1="080E0000" w:usb2="00000000" w:usb3="00000000" w:csb0="00040000" w:csb1="00000000"/>
    <w:embedRegular r:id="rId3" w:fontKey="{3A8EA153-00DE-44CA-95A1-58A1225FEAEF}"/>
  </w:font>
  <w:font w:name="楷体_GB2312">
    <w:panose1 w:val="02010609030101010101"/>
    <w:charset w:val="86"/>
    <w:family w:val="modern"/>
    <w:pitch w:val="default"/>
    <w:sig w:usb0="00000001" w:usb1="080E0000" w:usb2="00000000" w:usb3="00000000" w:csb0="00040000" w:csb1="00000000"/>
    <w:embedRegular r:id="rId4" w:fontKey="{365C32AD-2BD5-448D-92FA-A7550994704F}"/>
  </w:font>
  <w:font w:name="方正小标宋_GBK">
    <w:panose1 w:val="02000000000000000000"/>
    <w:charset w:val="86"/>
    <w:family w:val="auto"/>
    <w:pitch w:val="default"/>
    <w:sig w:usb0="A00002BF" w:usb1="38CF7CFA" w:usb2="00082016" w:usb3="00000000" w:csb0="00040001" w:csb1="00000000"/>
    <w:embedRegular r:id="rId5" w:fontKey="{5948BBBF-A6C8-402C-9454-08E9676C770D}"/>
  </w:font>
  <w:font w:name="方正仿宋_GBK">
    <w:panose1 w:val="02000000000000000000"/>
    <w:charset w:val="86"/>
    <w:family w:val="auto"/>
    <w:pitch w:val="default"/>
    <w:sig w:usb0="A00002BF" w:usb1="38CF7CFA" w:usb2="00082016" w:usb3="00000000" w:csb0="00040001" w:csb1="00000000"/>
    <w:embedRegular r:id="rId6" w:fontKey="{42304DCB-6127-41FB-B44E-F5EB17F72190}"/>
  </w:font>
  <w:font w:name="方正黑体_GBK">
    <w:panose1 w:val="03000509000000000000"/>
    <w:charset w:val="86"/>
    <w:family w:val="auto"/>
    <w:pitch w:val="default"/>
    <w:sig w:usb0="00000001" w:usb1="080E0000" w:usb2="00000000" w:usb3="00000000" w:csb0="00040000" w:csb1="00000000"/>
    <w:embedRegular r:id="rId7" w:fontKey="{7AB951DA-B14C-44CC-9101-991F300058DE}"/>
  </w:font>
  <w:font w:name="方正楷体_GBK">
    <w:panose1 w:val="02000000000000000000"/>
    <w:charset w:val="86"/>
    <w:family w:val="auto"/>
    <w:pitch w:val="default"/>
    <w:sig w:usb0="800002BF" w:usb1="38CF7CFA" w:usb2="00000016" w:usb3="00000000" w:csb0="00040000" w:csb1="00000000"/>
    <w:embedRegular r:id="rId8" w:fontKey="{5F89DA5D-3DB0-461E-8ED1-F96FBE943997}"/>
  </w:font>
  <w:font w:name="仿宋">
    <w:panose1 w:val="02010609060101010101"/>
    <w:charset w:val="86"/>
    <w:family w:val="auto"/>
    <w:pitch w:val="default"/>
    <w:sig w:usb0="800002BF" w:usb1="38CF7CFA" w:usb2="00000016" w:usb3="00000000" w:csb0="00040001" w:csb1="00000000"/>
    <w:embedRegular r:id="rId9" w:fontKey="{AE6AEA0D-7810-4A6C-8659-6F67560AFEB6}"/>
  </w:font>
  <w:font w:name="方正小标宋简体">
    <w:panose1 w:val="02000000000000000000"/>
    <w:charset w:val="86"/>
    <w:family w:val="auto"/>
    <w:pitch w:val="default"/>
    <w:sig w:usb0="A00002BF" w:usb1="184F6CFA" w:usb2="00000012" w:usb3="00000000" w:csb0="00040001" w:csb1="00000000"/>
    <w:embedRegular r:id="rId10" w:fontKey="{9BE8D57D-5D8C-4E1C-A576-E7A9AB659639}"/>
  </w:font>
  <w:font w:name="楷体">
    <w:panose1 w:val="02010609060101010101"/>
    <w:charset w:val="86"/>
    <w:family w:val="auto"/>
    <w:pitch w:val="default"/>
    <w:sig w:usb0="800002BF" w:usb1="38CF7CFA" w:usb2="00000016" w:usb3="00000000" w:csb0="00040001" w:csb1="00000000"/>
    <w:embedRegular r:id="rId11" w:fontKey="{184E2C31-2786-401C-934F-1A75ECE068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4B3B5">
    <w:pPr>
      <w:pStyle w:val="7"/>
      <w:ind w:left="4788" w:leftChars="2280" w:firstLine="6400" w:firstLineChars="2000"/>
      <w:rPr>
        <w:rFonts w:hint="eastAsia" w:eastAsia="仿宋"/>
        <w:sz w:val="32"/>
        <w:szCs w:val="48"/>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3A9BA7">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2A3A9BA7">
                    <w:pPr>
                      <w:pStyle w:val="6"/>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p>
                </w:txbxContent>
              </v:textbox>
            </v:shape>
          </w:pict>
        </mc:Fallback>
      </mc:AlternateContent>
    </w:r>
  </w:p>
  <w:p w14:paraId="1D5473C0">
    <w:pPr>
      <w:pStyle w:val="7"/>
      <w:wordWrap w:val="0"/>
      <w:ind w:left="4788" w:leftChars="2280" w:firstLine="6400" w:firstLineChars="2000"/>
      <w:jc w:val="right"/>
      <w:rPr>
        <w:rFonts w:hint="eastAsia" w:ascii="宋体" w:hAnsi="宋体" w:eastAsia="宋体" w:cs="宋体"/>
        <w:b/>
        <w:bCs/>
        <w:color w:val="005192"/>
        <w:sz w:val="28"/>
        <w:szCs w:val="44"/>
        <w:lang w:val="en-US" w:eastAsia="zh-CN"/>
      </w:rPr>
    </w:pPr>
    <w:r>
      <w:rPr>
        <w:color w:val="FAFAFA"/>
        <w:sz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74295</wp:posOffset>
              </wp:positionV>
              <wp:extent cx="5616575" cy="1905"/>
              <wp:effectExtent l="0" t="10795" r="3175" b="15875"/>
              <wp:wrapNone/>
              <wp:docPr id="5" name="直接连接符 5"/>
              <wp:cNvGraphicFramePr/>
              <a:graphic xmlns:a="http://schemas.openxmlformats.org/drawingml/2006/main">
                <a:graphicData uri="http://schemas.microsoft.com/office/word/2010/wordprocessingShape">
                  <wps:wsp>
                    <wps:cNvCnPr/>
                    <wps:spPr>
                      <a:xfrm>
                        <a:off x="0" y="0"/>
                        <a:ext cx="5616575" cy="1905"/>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5.85pt;height:0.15pt;width:442.25pt;z-index:251660288;mso-width-relative:page;mso-height-relative:page;" filled="f"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fill on="f" focussize="0,0"/>
              <v:stroke weight="1.75pt" color="#005192 [3204]" miterlimit="8" joinstyle="miter"/>
              <v:imagedata o:title=""/>
              <o:lock v:ext="edit" aspectratio="f"/>
            </v:line>
          </w:pict>
        </mc:Fallback>
      </mc:AlternateContent>
    </w:r>
    <w:r>
      <w:rPr>
        <w:rFonts w:hint="eastAsia" w:eastAsia="仿宋"/>
        <w:color w:val="FAFAFA"/>
        <w:sz w:val="32"/>
        <w:szCs w:val="48"/>
        <w:lang w:val="en-US" w:eastAsia="zh-CN"/>
      </w:rPr>
      <w:t>X</w:t>
    </w:r>
    <w:r>
      <w:rPr>
        <w:rFonts w:hint="eastAsia" w:ascii="宋体" w:hAnsi="宋体" w:eastAsia="宋体" w:cs="宋体"/>
        <w:b/>
        <w:bCs/>
        <w:color w:val="005192"/>
        <w:sz w:val="28"/>
        <w:szCs w:val="44"/>
        <w:lang w:val="en-US" w:eastAsia="zh-CN"/>
      </w:rPr>
      <w:t>龙子湖区人民政府办公室发布</w:t>
    </w:r>
  </w:p>
  <w:p w14:paraId="64354E95">
    <w:pPr>
      <w:pStyle w:val="7"/>
      <w:wordWrap w:val="0"/>
      <w:ind w:left="4788" w:leftChars="2280" w:firstLine="5622" w:firstLineChars="2000"/>
      <w:jc w:val="right"/>
      <w:rPr>
        <w:rFonts w:hint="eastAsia" w:ascii="宋体" w:hAnsi="宋体" w:eastAsia="宋体" w:cs="宋体"/>
        <w:b/>
        <w:bCs/>
        <w:color w:val="005192"/>
        <w:sz w:val="28"/>
        <w:szCs w:val="44"/>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47DE3">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rPr>
    </w:pPr>
    <w:r>
      <w:rPr>
        <w:rFonts w:hint="eastAsia" w:ascii="宋体" w:hAnsi="宋体" w:eastAsia="宋体" w:cs="宋体"/>
        <w:b/>
        <w:bCs/>
        <w:color w:val="005192"/>
        <w:sz w:val="32"/>
      </w:rPr>
      <mc:AlternateContent>
        <mc:Choice Requires="wps">
          <w:drawing>
            <wp:anchor distT="0" distB="0" distL="114300" distR="114300" simplePos="0" relativeHeight="251659264" behindDoc="0" locked="0" layoutInCell="1" allowOverlap="1">
              <wp:simplePos x="0" y="0"/>
              <wp:positionH relativeFrom="column">
                <wp:posOffset>-3810</wp:posOffset>
              </wp:positionH>
              <wp:positionV relativeFrom="paragraph">
                <wp:posOffset>690245</wp:posOffset>
              </wp:positionV>
              <wp:extent cx="5620385" cy="0"/>
              <wp:effectExtent l="0" t="12700" r="18415" b="15875"/>
              <wp:wrapNone/>
              <wp:docPr id="4" name="直接连接符 4"/>
              <wp:cNvGraphicFramePr/>
              <a:graphic xmlns:a="http://schemas.openxmlformats.org/drawingml/2006/main">
                <a:graphicData uri="http://schemas.microsoft.com/office/word/2010/wordprocessingShape">
                  <wps:wsp>
                    <wps:cNvCnPr/>
                    <wps:spPr>
                      <a:xfrm>
                        <a:off x="4133850" y="864870"/>
                        <a:ext cx="5620385" cy="0"/>
                      </a:xfrm>
                      <a:prstGeom prst="line">
                        <a:avLst/>
                      </a:prstGeom>
                      <a:ln w="22225">
                        <a:solidFill>
                          <a:srgbClr val="00519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3pt;margin-top:54.35pt;height:0pt;width:442.55pt;z-index:251659264;mso-width-relative:page;mso-height-relative:page;" filled="f"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fill on="f" focussize="0,0"/>
              <v:stroke weight="1.75pt" color="#005192 [3204]" miterlimit="8" joinstyle="miter"/>
              <v:imagedata o:title=""/>
              <o:lock v:ext="edit" aspectratio="f"/>
            </v:line>
          </w:pict>
        </mc:Fallback>
      </mc:AlternateContent>
    </w:r>
  </w:p>
  <w:p w14:paraId="7D5E7F97">
    <w:pPr>
      <w:pStyle w:val="7"/>
      <w:keepNext w:val="0"/>
      <w:keepLines w:val="0"/>
      <w:pageBreakBefore w:val="0"/>
      <w:widowControl w:val="0"/>
      <w:kinsoku/>
      <w:wordWrap/>
      <w:overflowPunct/>
      <w:topLinePunct w:val="0"/>
      <w:autoSpaceDE/>
      <w:autoSpaceDN/>
      <w:bidi w:val="0"/>
      <w:adjustRightInd/>
      <w:snapToGrid w:val="0"/>
      <w:textAlignment w:val="center"/>
      <w:rPr>
        <w:rFonts w:hint="eastAsia" w:ascii="宋体" w:hAnsi="宋体" w:eastAsia="宋体" w:cs="宋体"/>
        <w:b/>
        <w:bCs/>
        <w:color w:val="005192"/>
        <w:sz w:val="32"/>
        <w:szCs w:val="32"/>
        <w:lang w:val="en-US" w:eastAsia="zh-CN"/>
      </w:rPr>
    </w:pPr>
    <w:r>
      <w:rPr>
        <w:rFonts w:hint="eastAsia" w:ascii="宋体" w:hAnsi="宋体" w:eastAsia="宋体" w:cs="宋体"/>
        <w:b/>
        <w:bCs/>
        <w:color w:val="005192"/>
        <w:sz w:val="32"/>
      </w:rPr>
      <w:drawing>
        <wp:inline distT="0" distB="0" distL="114300" distR="114300">
          <wp:extent cx="308610" cy="308610"/>
          <wp:effectExtent l="0" t="0" r="11430" b="1143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eastAsia="宋体" w:cs="宋体"/>
        <w:b/>
        <w:bCs/>
        <w:color w:val="005192"/>
        <w:sz w:val="32"/>
        <w:lang w:val="en-US" w:eastAsia="zh-CN"/>
      </w:rPr>
      <w:t>龙子湖区</w:t>
    </w:r>
    <w:r>
      <w:rPr>
        <w:rFonts w:hint="eastAsia" w:ascii="宋体" w:hAnsi="宋体" w:eastAsia="宋体" w:cs="宋体"/>
        <w:b/>
        <w:bCs/>
        <w:color w:val="005192"/>
        <w:sz w:val="32"/>
        <w:lang w:eastAsia="zh-CN"/>
      </w:rPr>
      <w:t>人民政府</w:t>
    </w:r>
    <w:r>
      <w:rPr>
        <w:rFonts w:hint="eastAsia" w:ascii="宋体" w:hAnsi="宋体" w:eastAsia="宋体" w:cs="宋体"/>
        <w:b/>
        <w:bCs/>
        <w:color w:val="005192"/>
        <w:sz w:val="32"/>
        <w:lang w:val="en-US" w:eastAsia="zh-CN"/>
      </w:rPr>
      <w:t>办公室其他</w:t>
    </w:r>
    <w:r>
      <w:rPr>
        <w:rFonts w:hint="eastAsia" w:ascii="宋体" w:hAnsi="宋体" w:eastAsia="宋体" w:cs="宋体"/>
        <w:b/>
        <w:bCs/>
        <w:color w:val="005192"/>
        <w:sz w:val="32"/>
        <w:szCs w:val="32"/>
        <w:lang w:val="en-US" w:eastAsia="zh-CN"/>
      </w:rPr>
      <w:t>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1" w:cryptProviderType="rsaFull" w:cryptAlgorithmClass="hash" w:cryptAlgorithmType="typeAny" w:cryptAlgorithmSid="4" w:cryptSpinCount="0" w:hash="j5Lo/SZpQrFe27wbQbdk6SRRIsE=" w:salt="DU2jPw9e0XHXVk2ErWp6sA=="/>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xMjFhOTA2YjdhYzYwOWIxMmQ5MWI2MmJiZWNiMTEifQ=="/>
  </w:docVars>
  <w:rsids>
    <w:rsidRoot w:val="00172A27"/>
    <w:rsid w:val="000832C8"/>
    <w:rsid w:val="00B406C6"/>
    <w:rsid w:val="01845534"/>
    <w:rsid w:val="019E71BD"/>
    <w:rsid w:val="03BE7AB1"/>
    <w:rsid w:val="03D84224"/>
    <w:rsid w:val="04B679C3"/>
    <w:rsid w:val="07051715"/>
    <w:rsid w:val="080F63D8"/>
    <w:rsid w:val="08F571AE"/>
    <w:rsid w:val="09341458"/>
    <w:rsid w:val="099E3CC2"/>
    <w:rsid w:val="0A287A2F"/>
    <w:rsid w:val="0B0912D7"/>
    <w:rsid w:val="0CCF6888"/>
    <w:rsid w:val="0D3769B0"/>
    <w:rsid w:val="0DFF33B7"/>
    <w:rsid w:val="0EA67BD0"/>
    <w:rsid w:val="0EAC52BB"/>
    <w:rsid w:val="0EEA1757"/>
    <w:rsid w:val="12BC7506"/>
    <w:rsid w:val="152D2DCA"/>
    <w:rsid w:val="160E10F1"/>
    <w:rsid w:val="174C6948"/>
    <w:rsid w:val="184E5A4F"/>
    <w:rsid w:val="1DEC284C"/>
    <w:rsid w:val="1DED3012"/>
    <w:rsid w:val="1E6523AC"/>
    <w:rsid w:val="1EDE58F5"/>
    <w:rsid w:val="202D1F3A"/>
    <w:rsid w:val="217A66EA"/>
    <w:rsid w:val="22440422"/>
    <w:rsid w:val="24C148B0"/>
    <w:rsid w:val="24EA11BE"/>
    <w:rsid w:val="28E676D0"/>
    <w:rsid w:val="2A830077"/>
    <w:rsid w:val="2AC62C21"/>
    <w:rsid w:val="2ADC0696"/>
    <w:rsid w:val="2B6171DE"/>
    <w:rsid w:val="2D732B28"/>
    <w:rsid w:val="2D8D5C78"/>
    <w:rsid w:val="2E162111"/>
    <w:rsid w:val="2F797A5E"/>
    <w:rsid w:val="302E3742"/>
    <w:rsid w:val="31A15F24"/>
    <w:rsid w:val="31B9528D"/>
    <w:rsid w:val="320D2EAD"/>
    <w:rsid w:val="32AD3E02"/>
    <w:rsid w:val="32DD31FD"/>
    <w:rsid w:val="363365AC"/>
    <w:rsid w:val="38351F2E"/>
    <w:rsid w:val="395347B5"/>
    <w:rsid w:val="39A232A0"/>
    <w:rsid w:val="39D907EC"/>
    <w:rsid w:val="39E745AA"/>
    <w:rsid w:val="3B26620E"/>
    <w:rsid w:val="3B5A6BBB"/>
    <w:rsid w:val="3C6440E4"/>
    <w:rsid w:val="3CC50082"/>
    <w:rsid w:val="3D03531C"/>
    <w:rsid w:val="3D251BDA"/>
    <w:rsid w:val="3EDA13A6"/>
    <w:rsid w:val="40650E7A"/>
    <w:rsid w:val="42F058B7"/>
    <w:rsid w:val="436109F6"/>
    <w:rsid w:val="43ED1C06"/>
    <w:rsid w:val="441A38D4"/>
    <w:rsid w:val="445B73B5"/>
    <w:rsid w:val="4471176E"/>
    <w:rsid w:val="45060392"/>
    <w:rsid w:val="46805F22"/>
    <w:rsid w:val="4A136C4F"/>
    <w:rsid w:val="4AA91EEB"/>
    <w:rsid w:val="4BC77339"/>
    <w:rsid w:val="4C9236C5"/>
    <w:rsid w:val="4F93316A"/>
    <w:rsid w:val="50345F43"/>
    <w:rsid w:val="505C172E"/>
    <w:rsid w:val="50A0169A"/>
    <w:rsid w:val="52F46F0B"/>
    <w:rsid w:val="5377138E"/>
    <w:rsid w:val="53D8014D"/>
    <w:rsid w:val="540D401E"/>
    <w:rsid w:val="542D593B"/>
    <w:rsid w:val="54974505"/>
    <w:rsid w:val="552B174F"/>
    <w:rsid w:val="55E064E0"/>
    <w:rsid w:val="572C6D10"/>
    <w:rsid w:val="58430E62"/>
    <w:rsid w:val="5934151A"/>
    <w:rsid w:val="59EE36A9"/>
    <w:rsid w:val="5DC34279"/>
    <w:rsid w:val="5E471638"/>
    <w:rsid w:val="5EDB510B"/>
    <w:rsid w:val="608816D1"/>
    <w:rsid w:val="6092682E"/>
    <w:rsid w:val="60E21390"/>
    <w:rsid w:val="60EF4E7F"/>
    <w:rsid w:val="61463524"/>
    <w:rsid w:val="62917095"/>
    <w:rsid w:val="636D4314"/>
    <w:rsid w:val="648457D0"/>
    <w:rsid w:val="659C3AAC"/>
    <w:rsid w:val="665233C1"/>
    <w:rsid w:val="68A35D74"/>
    <w:rsid w:val="699102C2"/>
    <w:rsid w:val="69E91EAC"/>
    <w:rsid w:val="6A7837F4"/>
    <w:rsid w:val="6A790E3A"/>
    <w:rsid w:val="6A9F256B"/>
    <w:rsid w:val="6AD9688B"/>
    <w:rsid w:val="6B4B01F3"/>
    <w:rsid w:val="6C4626C1"/>
    <w:rsid w:val="6CA976D1"/>
    <w:rsid w:val="6CF03552"/>
    <w:rsid w:val="6D0E3F22"/>
    <w:rsid w:val="6D5C4EAF"/>
    <w:rsid w:val="6EAA3CD2"/>
    <w:rsid w:val="6F4772DF"/>
    <w:rsid w:val="6F702D04"/>
    <w:rsid w:val="6FCD7A7D"/>
    <w:rsid w:val="706B1D25"/>
    <w:rsid w:val="70F96E79"/>
    <w:rsid w:val="729A0448"/>
    <w:rsid w:val="74B5695F"/>
    <w:rsid w:val="757031B2"/>
    <w:rsid w:val="773D1725"/>
    <w:rsid w:val="776C5E66"/>
    <w:rsid w:val="7A155F3B"/>
    <w:rsid w:val="7BAF13D5"/>
    <w:rsid w:val="7C727887"/>
    <w:rsid w:val="7C9011D9"/>
    <w:rsid w:val="7CD1728A"/>
    <w:rsid w:val="7DC651C5"/>
    <w:rsid w:val="7E062BD5"/>
    <w:rsid w:val="7E1F5A45"/>
    <w:rsid w:val="7E4B683A"/>
    <w:rsid w:val="7F3818C3"/>
    <w:rsid w:val="7FCC283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next w:val="1"/>
    <w:qFormat/>
    <w:uiPriority w:val="0"/>
    <w:pPr>
      <w:widowControl w:val="0"/>
      <w:spacing w:before="141" w:beforeAutospacing="0" w:after="141" w:afterAutospacing="0"/>
      <w:ind w:left="0" w:right="0"/>
      <w:jc w:val="left"/>
    </w:pPr>
    <w:rPr>
      <w:rFonts w:hint="eastAsia" w:ascii="宋体" w:hAnsi="宋体" w:eastAsia="宋体" w:cs="宋体"/>
      <w:kern w:val="44"/>
      <w:sz w:val="30"/>
      <w:szCs w:val="30"/>
      <w:lang w:val="en-US" w:eastAsia="zh-CN" w:bidi="ar"/>
    </w:rPr>
  </w:style>
  <w:style w:type="paragraph" w:styleId="3">
    <w:name w:val="heading 2"/>
    <w:basedOn w:val="1"/>
    <w:next w:val="1"/>
    <w:autoRedefine/>
    <w:qFormat/>
    <w:uiPriority w:val="0"/>
    <w:pPr>
      <w:spacing w:line="520" w:lineRule="exact"/>
      <w:ind w:firstLine="880" w:firstLineChars="200"/>
      <w:jc w:val="left"/>
      <w:outlineLvl w:val="1"/>
    </w:pPr>
    <w:rPr>
      <w:rFonts w:hint="eastAsia" w:ascii="宋体" w:hAnsi="宋体" w:eastAsia="黑体" w:cs="Times New Roman"/>
      <w:sz w:val="32"/>
      <w:szCs w:val="36"/>
    </w:rPr>
  </w:style>
  <w:style w:type="character" w:default="1" w:styleId="11">
    <w:name w:val="Default Paragraph Font"/>
    <w:autoRedefine/>
    <w:semiHidden/>
    <w:qFormat/>
    <w:uiPriority w:val="0"/>
  </w:style>
  <w:style w:type="table" w:default="1" w:styleId="10">
    <w:name w:val="Normal Table"/>
    <w:autoRedefine/>
    <w:semiHidden/>
    <w:qFormat/>
    <w:uiPriority w:val="0"/>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autoRedefine/>
    <w:qFormat/>
    <w:uiPriority w:val="99"/>
    <w:pPr>
      <w:ind w:left="111" w:firstLine="631"/>
    </w:pPr>
    <w:rPr>
      <w:szCs w:val="20"/>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9">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bCs/>
    </w:rPr>
  </w:style>
  <w:style w:type="character" w:styleId="13">
    <w:name w:val="page number"/>
    <w:basedOn w:val="11"/>
    <w:qFormat/>
    <w:uiPriority w:val="0"/>
  </w:style>
  <w:style w:type="paragraph" w:customStyle="1" w:styleId="14">
    <w:name w:val="p0"/>
    <w:basedOn w:val="1"/>
    <w:autoRedefine/>
    <w:qFormat/>
    <w:uiPriority w:val="0"/>
    <w:pPr>
      <w:widowControl/>
    </w:pPr>
    <w:rPr>
      <w:rFonts w:ascii="Calibri" w:hAnsi="Calibri" w:eastAsia="宋体" w:cs="宋体"/>
      <w:kern w:val="0"/>
      <w:szCs w:val="32"/>
    </w:rPr>
  </w:style>
  <w:style w:type="character" w:customStyle="1" w:styleId="15">
    <w:name w:val="NormalCharacter"/>
    <w:autoRedefine/>
    <w:qFormat/>
    <w:uiPriority w:val="0"/>
  </w:style>
  <w:style w:type="paragraph" w:customStyle="1" w:styleId="16">
    <w:name w:val="文字内容"/>
    <w:basedOn w:val="1"/>
    <w:autoRedefine/>
    <w:qFormat/>
    <w:uiPriority w:val="0"/>
    <w:pPr>
      <w:spacing w:line="520" w:lineRule="exact"/>
      <w:ind w:firstLine="880" w:firstLineChars="200"/>
    </w:pPr>
    <w:rPr>
      <w:rFonts w:ascii="Times New Roman" w:hAnsi="Times New Roman" w:eastAsia="仿宋_GB2312" w:cs="Times New Roman"/>
      <w:sz w:val="32"/>
    </w:rPr>
  </w:style>
  <w:style w:type="character" w:customStyle="1" w:styleId="17">
    <w:name w:val="一级标题 Char"/>
    <w:link w:val="18"/>
    <w:qFormat/>
    <w:uiPriority w:val="0"/>
    <w:rPr>
      <w:rFonts w:ascii="仿宋_GB2312" w:hAnsi="仿宋_GB2312" w:eastAsia="楷体_GB2312" w:cs="仿宋_GB2312"/>
      <w:kern w:val="0"/>
      <w:sz w:val="32"/>
      <w:szCs w:val="22"/>
      <w:lang w:val="zh-CN" w:bidi="zh-CN"/>
    </w:rPr>
  </w:style>
  <w:style w:type="paragraph" w:customStyle="1" w:styleId="18">
    <w:name w:val="一级标题"/>
    <w:basedOn w:val="1"/>
    <w:link w:val="17"/>
    <w:autoRedefine/>
    <w:qFormat/>
    <w:uiPriority w:val="0"/>
    <w:pPr>
      <w:spacing w:line="520" w:lineRule="exact"/>
      <w:ind w:firstLine="880" w:firstLineChars="200"/>
    </w:pPr>
    <w:rPr>
      <w:rFonts w:ascii="仿宋_GB2312" w:hAnsi="仿宋_GB2312" w:eastAsia="楷体_GB2312" w:cs="仿宋_GB2312"/>
      <w:kern w:val="0"/>
      <w:sz w:val="32"/>
      <w:szCs w:val="22"/>
      <w:lang w:val="zh-CN" w:bidi="zh-CN"/>
    </w:rPr>
  </w:style>
  <w:style w:type="paragraph" w:customStyle="1" w:styleId="19">
    <w:name w:val="BodyText"/>
    <w:basedOn w:val="1"/>
    <w:next w:val="6"/>
    <w:qFormat/>
    <w:uiPriority w:val="0"/>
    <w:pPr>
      <w:spacing w:line="312" w:lineRule="auto"/>
      <w:ind w:firstLine="200" w:firstLineChars="200"/>
      <w:textAlignment w:val="baseline"/>
    </w:pPr>
    <w:rPr>
      <w:rFonts w:ascii="Times New Roman" w:hAnsi="Times New Roman" w:eastAsia="仿宋_GB2312"/>
      <w:sz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98</Pages>
  <Words>31070</Words>
  <Characters>32093</Characters>
  <Lines>1</Lines>
  <Paragraphs>1</Paragraphs>
  <TotalTime>372</TotalTime>
  <ScaleCrop>false</ScaleCrop>
  <LinksUpToDate>false</LinksUpToDate>
  <CharactersWithSpaces>32451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2021-09-09T02:41:00Z</dcterms:created>
  <dc:creator>t</dc:creator>
  <cp:lastModifiedBy>方正文</cp:lastModifiedBy>
  <cp:lastPrinted>2021-10-26T03:30:00Z</cp:lastPrinted>
  <dcterms:modified xsi:type="dcterms:W3CDTF">2025-03-19T08:15:56Z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7D72E67CDAF248038AEBDE8C5BF86980_13</vt:lpwstr>
  </property>
  <property fmtid="{D5CDD505-2E9C-101B-9397-08002B2CF9AE}" pid="4" name="KSOTemplateDocerSaveRecord">
    <vt:lpwstr>eyJoZGlkIjoiMjYwNWI4MjVkMTI5MjliZDE0NWI5NzAwNDA1MzFiMzYiLCJ1c2VySWQiOiIzMTI0MTUzMTEifQ==</vt:lpwstr>
  </property>
</Properties>
</file>